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Руководство пользователя по моделированию и прогнозированию</w:t>
      </w:r>
    </w:p>
    <w:p>
      <w:pPr>
        <w:spacing w:after="120"/>
        <w:jc w:val="center"/>
      </w:pPr>
      <w:r>
        <w:rPr>
          <w:rFonts w:ascii="Arial" w:cs="Arial" w:eastAsia="Arial" w:hAnsi="Arial"/>
          <w:b/>
          <w:bCs/>
          <w:sz w:val="24"/>
          <w:szCs w:val="24"/>
        </w:rPr>
        <w:t xml:space="preserve">государственных доходов (центральный уровень)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iapjqr4huykm7jcz_m27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21 августа 2023 года № 417)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Техническое задание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ТЗ (результат I.b) определяет создание </w:t>
      </w:r>
      <w:r>
        <w:rPr>
          <w:rFonts w:ascii="Arial" w:cs="Arial" w:eastAsia="Arial" w:hAnsi="Arial"/>
          <w:b/>
          <w:bCs/>
          <w:sz w:val="24"/>
          <w:szCs w:val="24"/>
        </w:rPr>
        <w:t xml:space="preserve">эконометрической модели</w:t>
      </w:r>
      <w:r>
        <w:rPr>
          <w:rFonts w:ascii="Arial" w:cs="Arial" w:eastAsia="Arial" w:hAnsi="Arial"/>
          <w:sz w:val="24"/>
          <w:szCs w:val="24"/>
        </w:rPr>
        <w:t xml:space="preserve"> для прогнозирования доходов (краткосрочного, среднесрочного, долгосрочного) и базы данных, используемой в модели; инструкции по использованию и применению модели прогнозирования доходов (Руководство пользователя).</w:t>
      </w:r>
    </w:p>
    <w:p>
      <w:pPr>
        <w:spacing w:after="120"/>
        <w:jc w:val="both"/>
      </w:pPr>
      <w:r>
        <w:rPr>
          <w:rFonts w:ascii="Arial" w:cs="Arial" w:eastAsia="Arial" w:hAnsi="Arial"/>
          <w:sz w:val="24"/>
          <w:szCs w:val="24"/>
        </w:rPr>
        <w:t xml:space="preserve">Эконометрические модели определяют статистическую взаимосвязь, которая, как считается, существует между различными экономическими величинами, относящимися к конкретному экономическому явлению.</w:t>
      </w:r>
    </w:p>
    <w:p>
      <w:pPr>
        <w:spacing w:after="120"/>
        <w:jc w:val="both"/>
      </w:pPr>
      <w:r>
        <w:rPr>
          <w:rFonts w:ascii="Arial" w:cs="Arial" w:eastAsia="Arial" w:hAnsi="Arial"/>
          <w:sz w:val="24"/>
          <w:szCs w:val="24"/>
        </w:rPr>
        <w:t xml:space="preserve">Дополнительная информация о подходе к моделированию содержится в аналитическом отчете (результат I.a).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Типы полученных моделей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ТЗ также установлены два критерия моделирования доходов: (1) временной горизонт и (2) уровень прогнозирования, используемый при моделировании:</w:t>
      </w:r>
    </w:p>
    <w:p>
      <w:pPr>
        <w:spacing w:after="120"/>
        <w:ind w:firstLine="708"/>
        <w:jc w:val="both"/>
      </w:pPr>
      <w:r>
        <w:rPr>
          <w:rFonts w:ascii="Arial" w:cs="Arial" w:eastAsia="Arial" w:hAnsi="Arial"/>
          <w:sz w:val="24"/>
          <w:szCs w:val="24"/>
        </w:rPr>
        <w:t xml:space="preserve">1) полученные модели проводят различие между:</w:t>
      </w:r>
    </w:p>
    <w:p>
      <w:pPr>
        <w:spacing w:after="120"/>
        <w:ind w:firstLine="708"/>
        <w:jc w:val="both"/>
      </w:pPr>
      <w:r>
        <w:rPr>
          <w:rFonts w:ascii="Arial" w:cs="Arial" w:eastAsia="Arial" w:hAnsi="Arial"/>
          <w:sz w:val="24"/>
          <w:szCs w:val="24"/>
        </w:rPr>
        <w:t xml:space="preserve">- среднесрочным или долгосрочным прогнозированием с целью получения финансирования или осуществления среднесрочных инвестиционных проектов;</w:t>
      </w:r>
    </w:p>
    <w:p>
      <w:pPr>
        <w:spacing w:after="120"/>
        <w:ind w:firstLine="708"/>
        <w:jc w:val="both"/>
      </w:pPr>
      <w:r>
        <w:rPr>
          <w:rFonts w:ascii="Arial" w:cs="Arial" w:eastAsia="Arial" w:hAnsi="Arial"/>
          <w:sz w:val="24"/>
          <w:szCs w:val="24"/>
        </w:rPr>
        <w:t xml:space="preserve">- долгосрочным прогнозированием (4 года и более) для крупномасштабных инвестиционных проектов или планирования;</w:t>
      </w:r>
    </w:p>
    <w:p>
      <w:pPr>
        <w:spacing w:after="120"/>
        <w:ind w:firstLine="708"/>
        <w:jc w:val="both"/>
      </w:pPr>
      <w:r>
        <w:rPr>
          <w:rFonts w:ascii="Arial" w:cs="Arial" w:eastAsia="Arial" w:hAnsi="Arial"/>
          <w:sz w:val="24"/>
          <w:szCs w:val="24"/>
        </w:rPr>
        <w:t xml:space="preserve">2) Уровнем прогнозирования является:</w:t>
      </w:r>
    </w:p>
    <w:p>
      <w:pPr>
        <w:spacing w:after="120"/>
        <w:ind w:firstLine="708"/>
        <w:jc w:val="both"/>
      </w:pPr>
      <w:r>
        <w:rPr>
          <w:rFonts w:ascii="Arial" w:cs="Arial" w:eastAsia="Arial" w:hAnsi="Arial"/>
          <w:sz w:val="24"/>
          <w:szCs w:val="24"/>
        </w:rPr>
        <w:t xml:space="preserve">- центральный бюджет (республиканский);</w:t>
      </w:r>
    </w:p>
    <w:p>
      <w:pPr>
        <w:spacing w:after="120"/>
        <w:ind w:firstLine="708"/>
        <w:jc w:val="both"/>
      </w:pPr>
      <w:r>
        <w:rPr>
          <w:rFonts w:ascii="Arial" w:cs="Arial" w:eastAsia="Arial" w:hAnsi="Arial"/>
          <w:sz w:val="24"/>
          <w:szCs w:val="24"/>
        </w:rPr>
        <w:t xml:space="preserve">- местный бюджет;</w:t>
      </w:r>
    </w:p>
    <w:p>
      <w:pPr>
        <w:spacing w:after="120"/>
        <w:ind w:firstLine="708"/>
        <w:jc w:val="both"/>
      </w:pPr>
      <w:r>
        <w:rPr>
          <w:rFonts w:ascii="Arial" w:cs="Arial" w:eastAsia="Arial" w:hAnsi="Arial"/>
          <w:sz w:val="24"/>
          <w:szCs w:val="24"/>
        </w:rPr>
        <w:t xml:space="preserve">- общий уровень (государственный).</w:t>
      </w:r>
      <w:r>
        <w:rPr>
          <w:rFonts w:ascii="Arial" w:cs="Arial" w:eastAsia="Arial" w:hAnsi="Arial"/>
          <w:sz w:val="24"/>
          <w:szCs w:val="24"/>
        </w:rPr>
        <w:t xml:space="preserve">1</w:t>
      </w:r>
    </w:p>
    <w:p>
      <w:pPr>
        <w:spacing w:after="120"/>
        <w:ind w:firstLine="708"/>
        <w:jc w:val="both"/>
      </w:pPr>
      <w:r>
        <w:rPr>
          <w:rFonts w:ascii="Arial" w:cs="Arial" w:eastAsia="Arial" w:hAnsi="Arial"/>
          <w:sz w:val="24"/>
          <w:szCs w:val="24"/>
        </w:rPr>
        <w:t xml:space="preserve">___________________ </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Государственный бюджет не моделировался уравнениями. Предполагается, что это будет сумма прогнозов центрального местного уровней.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соответствия вышеупомянутым критериям были разработаны две модели, как показано ниже на рисунке, на трех рабочих файлах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2"/>
        <w:gridCol w:w="3607"/>
        <w:gridCol w:w="2919"/>
      </w:tblGrid>
      <w:tr>
        <w:tc>
          <w:tcPr>
            <w:tcW w:type="dxa" w:w="36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Средне-Долгосрочный</w:t>
            </w:r>
          </w:p>
          <w:p>
            <w:pPr>
              <w:jc w:val="left"/>
            </w:pPr>
            <w:r>
              <w:rPr>
                <w:rFonts w:ascii="Arial" w:cs="Arial" w:eastAsia="Arial" w:hAnsi="Arial"/>
                <w:sz w:val="24"/>
                <w:szCs w:val="24"/>
              </w:rPr>
              <w:t xml:space="preserve">Общий уровень</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С-Д-срочный</w:t>
            </w:r>
          </w:p>
          <w:p>
            <w:pPr>
              <w:jc w:val="left"/>
            </w:pPr>
            <w:r>
              <w:rPr>
                <w:rFonts w:ascii="Arial" w:cs="Arial" w:eastAsia="Arial" w:hAnsi="Arial"/>
                <w:sz w:val="24"/>
                <w:szCs w:val="24"/>
              </w:rPr>
              <w:t xml:space="preserve">Центральный уровень</w:t>
            </w:r>
          </w:p>
        </w:tc>
        <w:tc>
          <w:tcPr>
            <w:tcW w:type="dxa" w:w="29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С-Д-срочный</w:t>
            </w:r>
          </w:p>
          <w:p>
            <w:pPr>
              <w:jc w:val="left"/>
            </w:pPr>
            <w:r>
              <w:rPr>
                <w:rFonts w:ascii="Arial" w:cs="Arial" w:eastAsia="Arial" w:hAnsi="Arial"/>
                <w:sz w:val="24"/>
                <w:szCs w:val="24"/>
              </w:rPr>
              <w:t xml:space="preserve">Местный уровень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Руководство пользователя относится к прогнозированию доходов на центральном уровне в среднесрочной и/или долгосрочной перспективе. Остальная методология на местном уровне в среднесрочной и долгосрочной перспективе рассматривается в отдельном документе.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Налоговая 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Предлагаемая структура включает все виды налогов, смоделированные с помощью эконометрических методов. В приведенных ниже таблицах показаны вид налога, источник информации и аббревиатуры для их идентификации в рабочем файле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Direct taxes</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0"/>
        <w:gridCol w:w="3504"/>
        <w:gridCol w:w="3604"/>
      </w:tblGrid>
      <w:tr>
        <w:tc>
          <w:tcPr>
            <w:tcW w:type="dxa" w:w="30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налога</w:t>
            </w:r>
          </w:p>
        </w:tc>
        <w:tc>
          <w:tcPr>
            <w:tcW w:type="dxa" w:w="3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3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Аббревиатура в EViews</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прямые налоги</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Td_mis</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прямые налоги</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Исчисленные</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Td_tot = cit + td_mis</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Прямые налоги можно найти в следующей группе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Косвенные налоги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7"/>
        <w:gridCol w:w="2252"/>
        <w:gridCol w:w="5509"/>
      </w:tblGrid>
      <w:tr>
        <w:tc>
          <w:tcPr>
            <w:tcW w:type="dxa" w:w="24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Type of tax</w:t>
            </w:r>
          </w:p>
        </w:tc>
        <w:tc>
          <w:tcPr>
            <w:tcW w:type="dxa" w:w="2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Source of information</w:t>
            </w:r>
          </w:p>
        </w:tc>
        <w:tc>
          <w:tcPr>
            <w:tcW w:type="dxa" w:w="55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Abbr. in EViews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внутренние</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внешние</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Exc_e_tot = exc_e + exc_eaeu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Третьи страны</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ЕАЭС</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 внутренний</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VAT_d</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 внешний</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Vat_e_tot = vat_e + vat_eaeu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Третьи страны</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Vat_е</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ЕАЭС</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пошлина</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T_im</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косвенные налоги</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Ti_mis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косвенные налоги</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Исчисленные</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Ti_tot = exc_d + exc_e_tot + vat_d + vat_e_tot + sales +t_im</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временных рядов ti_grp охватывает все косвенные налоги, использованные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Гранты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Объем грантов обычно зависит от подписанных двусторонних и/или многосторонних контрактов, переговоров с донорами и т.д. Традиционно они не имеют эмпирического подтверждения в исторических данных, они не моделируются эконометрически, а взяты из Министерства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Неналоговые доходы моделируются в разделе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Данные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Данные получены из разных источников, в частности из Министерства финансов Кыргызской Республики, а также из национальной статистики, различных бюллетеней, доступных в Интернете, и из Среднесрочного прогноза социально-экономического развития.</w:t>
      </w:r>
    </w:p>
    <w:p>
      <w:pPr>
        <w:spacing w:after="120"/>
        <w:ind w:firstLine="708"/>
        <w:jc w:val="both"/>
      </w:pPr>
      <w:r>
        <w:rPr>
          <w:rFonts w:ascii="Arial" w:cs="Arial" w:eastAsia="Arial" w:hAnsi="Arial"/>
          <w:sz w:val="24"/>
          <w:szCs w:val="24"/>
        </w:rPr>
        <w:t xml:space="preserve">Применимость методов оценки всегда следует рассматривать с учетом имеющихся данных. Ввиду короткого промежутка времени, структурных разрывов и данных с высокой частотой число возможных методов ограничено.</w:t>
      </w:r>
    </w:p>
    <w:p>
      <w:pPr>
        <w:spacing w:after="120"/>
        <w:ind w:firstLine="708"/>
        <w:jc w:val="both"/>
      </w:pPr>
      <w:r>
        <w:rPr>
          <w:rFonts w:ascii="Arial" w:cs="Arial" w:eastAsia="Arial" w:hAnsi="Arial"/>
          <w:sz w:val="24"/>
          <w:szCs w:val="24"/>
        </w:rPr>
        <w:t xml:space="preserve">Для оценки модели используются годовые данные за период 2000-2021 годов. Если не указано иное, используются только реальные данные. Расчеты производились с использованием эконометрического программного обеспечения EViews. С документацией о необходимых процедурах и их практическом осуществлении можно ознакомиться в учебных материалах, прилагаемых к данному Руководству 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Нестационарность данных представляет собой серьезную проблему оценки. Всемирные эконометрические исследования в этой области могут дать множество примеров того, что нестационарные данные, как правило, непредсказуемы и не поддаются моделированию или прогнозированию. Результаты, полученные с использованием нестационарных временных рядов, могут быть ложными, поскольку они могут указывать на взаимосвязь между двумя переменными, когда одна из них не существует. Для получения последовательных достоверных результатов нестационарные данные необходимо преобразовать в стационарные.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определить, являются ли временные ряды стационарными, рекомендуется использовать тестирование на наличие единичного корня.</w:t>
      </w:r>
    </w:p>
    <w:p>
      <w:pPr>
        <w:spacing w:after="120"/>
        <w:ind w:firstLine="708"/>
        <w:jc w:val="both"/>
      </w:pPr>
      <w:r>
        <w:rPr>
          <w:rFonts w:ascii="Arial" w:cs="Arial" w:eastAsia="Arial" w:hAnsi="Arial"/>
          <w:sz w:val="24"/>
          <w:szCs w:val="24"/>
        </w:rPr>
        <w:t xml:space="preserve">При этом мы можем полагаться на результаты, полученные с помощью стандартного расширенного теста Дики-Фуллера (ADF). В целом, после выполнения теста на стационарность можно получить три вероятных результата:</w:t>
      </w:r>
    </w:p>
    <w:p>
      <w:pPr>
        <w:spacing w:after="120"/>
        <w:ind w:firstLine="708"/>
        <w:jc w:val="both"/>
      </w:pPr>
      <w:r>
        <w:rPr>
          <w:rFonts w:ascii="Arial" w:cs="Arial" w:eastAsia="Arial" w:hAnsi="Arial"/>
          <w:sz w:val="24"/>
          <w:szCs w:val="24"/>
        </w:rPr>
        <w:t xml:space="preserve">1) ряды интегрируются нулевого порядка. То есть стационарны по уровню (без разности);</w:t>
      </w:r>
    </w:p>
    <w:p>
      <w:pPr>
        <w:spacing w:after="120"/>
        <w:ind w:firstLine="708"/>
        <w:jc w:val="both"/>
      </w:pPr>
      <w:r>
        <w:rPr>
          <w:rFonts w:ascii="Arial" w:cs="Arial" w:eastAsia="Arial" w:hAnsi="Arial"/>
          <w:sz w:val="24"/>
          <w:szCs w:val="24"/>
        </w:rPr>
        <w:t xml:space="preserve">2) ряды интегрируются первого порядка. То есть стационарны после первой разности;</w:t>
      </w:r>
    </w:p>
    <w:p>
      <w:pPr>
        <w:spacing w:after="120"/>
        <w:ind w:firstLine="708"/>
        <w:jc w:val="both"/>
      </w:pPr>
      <w:r>
        <w:rPr>
          <w:rFonts w:ascii="Arial" w:cs="Arial" w:eastAsia="Arial" w:hAnsi="Arial"/>
          <w:sz w:val="24"/>
          <w:szCs w:val="24"/>
        </w:rPr>
        <w:t xml:space="preserve">3) ряды интегрируются разных порядков. То есть, имеют комбинацию рядов I (0) и I (1).</w:t>
      </w:r>
    </w:p>
    <w:p>
      <w:pPr>
        <w:spacing w:after="120"/>
        <w:ind w:firstLine="708"/>
        <w:jc w:val="both"/>
      </w:pPr>
      <w:r>
        <w:rPr>
          <w:rFonts w:ascii="Arial" w:cs="Arial" w:eastAsia="Arial" w:hAnsi="Arial"/>
          <w:sz w:val="24"/>
          <w:szCs w:val="24"/>
        </w:rPr>
        <w:t xml:space="preserve">Временной ряд может быть стационарным в разных порядках, например, сочетание уровня и стационарности при первой или второй разнице. Эта комбинация определяет метод оценки.</w:t>
      </w:r>
    </w:p>
    <w:p>
      <w:pPr>
        <w:spacing w:after="120"/>
        <w:ind w:firstLine="708"/>
        <w:jc w:val="both"/>
      </w:pPr>
      <w:r>
        <w:rPr>
          <w:rFonts w:ascii="Arial" w:cs="Arial" w:eastAsia="Arial" w:hAnsi="Arial"/>
          <w:sz w:val="24"/>
          <w:szCs w:val="24"/>
        </w:rPr>
        <w:t xml:space="preserve">Если все переменные интегрированы по первой разности, необходимо провести тест на коинтеграцию (предварительное условие для установления долгосрочных связей). Существуют два варианта: (i) использование коинтеграционного теста Йохансена или (ii) Bounds tests (метод пограничных значений) - предложенный Пезараном, Шином и Смитом (2001).</w:t>
      </w:r>
    </w:p>
    <w:p>
      <w:pPr>
        <w:spacing w:after="120"/>
        <w:ind w:firstLine="708"/>
        <w:jc w:val="both"/>
      </w:pPr>
      <w:r>
        <w:rPr>
          <w:rFonts w:ascii="Arial" w:cs="Arial" w:eastAsia="Arial" w:hAnsi="Arial"/>
          <w:sz w:val="24"/>
          <w:szCs w:val="24"/>
        </w:rPr>
        <w:t xml:space="preserve">На приведенной ниже Схеме 1 показаны возможные 5 результатов тестирования на единичный корень (синим цветом). Затем коричневым цветом предлагаются методы оценки, которые следует применять в зависимости от результатов тестирования на единичный корень.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Схема 1. Выбор методов оценки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результат тестирования единичного корня: "Все переменные стационарны на уровне" (первый синий прямоугольник во втором ряду). Этот результат позволяет нам использовать простую регрессию (OLS) для получения долгосрочных взаимосвязей.</w:t>
      </w:r>
    </w:p>
    <w:p>
      <w:pPr>
        <w:spacing w:after="120"/>
        <w:ind w:firstLine="708"/>
        <w:jc w:val="both"/>
      </w:pPr>
      <w:r>
        <w:rPr>
          <w:rFonts w:ascii="Arial" w:cs="Arial" w:eastAsia="Arial" w:hAnsi="Arial"/>
          <w:sz w:val="24"/>
          <w:szCs w:val="24"/>
        </w:rPr>
        <w:t xml:space="preserve">Второй результат заключается в том, что переменные стационарны на уровне или в первой разности. Их можно интегрировать на уровне I (0) или в первой разности I (1). При условии, что мы получим этот результат, рекомендуется использовать модель авторегрессии с распределенным лагом (ARDL).</w:t>
      </w:r>
    </w:p>
    <w:p>
      <w:pPr>
        <w:spacing w:after="120"/>
        <w:ind w:firstLine="708"/>
        <w:jc w:val="both"/>
      </w:pPr>
      <w:r>
        <w:rPr>
          <w:rFonts w:ascii="Arial" w:cs="Arial" w:eastAsia="Arial" w:hAnsi="Arial"/>
          <w:sz w:val="24"/>
          <w:szCs w:val="24"/>
        </w:rPr>
        <w:t xml:space="preserve">Третий вариант заключается в том, что все переменные стационарны в первой разности. В этом случае временной ряд следует протестировать на коинтеграцию. Если тест отрицательный, предлагается запустить неограниченную модель векторной авторегрессии (VAR). С другой стороны, если коинтеграция доказана тестированием, модель коррекции ошибок является решением. Число эндогенных переменных будет определять окончательное решение. Если имеется только одна эндогенная переменная, следует использовать модель коррекции ошибок (ЕСМ). Однако, если эндогенных переменных больше, векторная модель коррекции ошибок (VECM) является одним их возможных вариантов.</w:t>
      </w:r>
    </w:p>
    <w:p>
      <w:pPr>
        <w:spacing w:after="120"/>
        <w:ind w:firstLine="708"/>
        <w:jc w:val="both"/>
      </w:pPr>
      <w:r>
        <w:rPr>
          <w:rFonts w:ascii="Arial" w:cs="Arial" w:eastAsia="Arial" w:hAnsi="Arial"/>
          <w:sz w:val="24"/>
          <w:szCs w:val="24"/>
        </w:rPr>
        <w:t xml:space="preserve">Четвертая возможность состоит в том, что временные ряды стационарны либо в первой, либо во второй разности. Авторегрессионные модели являются предлагаемым решением.</w:t>
      </w:r>
    </w:p>
    <w:p>
      <w:pPr>
        <w:spacing w:after="120"/>
        <w:ind w:firstLine="708"/>
        <w:jc w:val="both"/>
      </w:pPr>
      <w:r>
        <w:rPr>
          <w:rFonts w:ascii="Arial" w:cs="Arial" w:eastAsia="Arial" w:hAnsi="Arial"/>
          <w:sz w:val="24"/>
          <w:szCs w:val="24"/>
        </w:rPr>
        <w:t xml:space="preserve">Последний вариант не был подтвержден тестированием на наличие единичного корня. Поэтому в данном документе он не рассматривается.</w:t>
      </w:r>
    </w:p>
    <w:p>
      <w:pPr>
        <w:spacing w:after="120"/>
        <w:ind w:firstLine="708"/>
        <w:jc w:val="both"/>
      </w:pPr>
      <w:r>
        <w:rPr>
          <w:rFonts w:ascii="Arial" w:cs="Arial" w:eastAsia="Arial" w:hAnsi="Arial"/>
          <w:sz w:val="24"/>
          <w:szCs w:val="24"/>
        </w:rPr>
        <w:t xml:space="preserve">Поскольку переменные часто отображают нестационарное поведение, для анализа данных будет использоваться метод коинтеграции. Если два ряда следуют за процессами единичного корня, но не коинтегрированы, может возникнуть проблема ложной регрессии, т.е. предполагаемая взаимосвязь является статистически весьма значимой вследствие неправильного вывода, но не поддается разумному толкованию. Вместе с тем, коинтеграция подразумевает, что существует линейная комбинация соответствующих переменных, которая является стационарной. Тогда такая стационарная линейная комбинация может быть интерпретирована как долгосрочная взаимосвязь.</w:t>
      </w:r>
    </w:p>
    <w:p>
      <w:pPr>
        <w:spacing w:after="120"/>
        <w:ind w:firstLine="708"/>
        <w:jc w:val="both"/>
      </w:pPr>
      <w:r>
        <w:rPr>
          <w:rFonts w:ascii="Arial" w:cs="Arial" w:eastAsia="Arial" w:hAnsi="Arial"/>
          <w:sz w:val="24"/>
          <w:szCs w:val="24"/>
        </w:rPr>
        <w:t xml:space="preserve">По мере возможности будут оцениваться модели коррекции ошибок, основанные на стабильных долгосрочных взаимосвязях. Если эта концепция неприменима, используются другие методы.</w:t>
      </w:r>
    </w:p>
    <w:p>
      <w:pPr>
        <w:spacing w:after="120"/>
        <w:ind w:firstLine="708"/>
        <w:jc w:val="both"/>
      </w:pPr>
      <w:r>
        <w:rPr>
          <w:rFonts w:ascii="Arial" w:cs="Arial" w:eastAsia="Arial" w:hAnsi="Arial"/>
          <w:sz w:val="24"/>
          <w:szCs w:val="24"/>
        </w:rPr>
        <w:t xml:space="preserve">Как правило, для оценки уравнений модели используются три метода:</w:t>
      </w:r>
    </w:p>
    <w:p>
      <w:pPr>
        <w:spacing w:after="120"/>
        <w:ind w:firstLine="708"/>
        <w:jc w:val="both"/>
      </w:pPr>
      <w:r>
        <w:rPr>
          <w:rFonts w:ascii="Arial" w:cs="Arial" w:eastAsia="Arial" w:hAnsi="Arial"/>
          <w:sz w:val="24"/>
          <w:szCs w:val="24"/>
        </w:rPr>
        <w:t xml:space="preserve">- проводятся стандартные регрессии методом наименьших квадратов (OLS) по уровням, поскольку временные ряды являются стационарными и нестационарные пояснительные переменные включены в первые разности;</w:t>
      </w:r>
    </w:p>
    <w:p>
      <w:pPr>
        <w:spacing w:after="120"/>
        <w:ind w:firstLine="708"/>
        <w:jc w:val="both"/>
      </w:pPr>
      <w:r>
        <w:rPr>
          <w:rFonts w:ascii="Arial" w:cs="Arial" w:eastAsia="Arial" w:hAnsi="Arial"/>
          <w:sz w:val="24"/>
          <w:szCs w:val="24"/>
        </w:rPr>
        <w:t xml:space="preserve">- широко используемым методом для тестирования коинтеграции является так называемая двухэтапная процедура Энгла-Грейнджера. Энгл и Грейнджер (1987) предложили оценивать коинтеграционные отношения на первом этапе с помощью статической регрессии OLS. Затем полученные остатки проверяются на наличие единичного корня. Если установлено, что они стационарны, то на втором этапе они включаются в качестве регрессора в коррекцию ошибок;</w:t>
      </w:r>
    </w:p>
    <w:p>
      <w:pPr>
        <w:spacing w:after="120"/>
        <w:ind w:firstLine="708"/>
        <w:jc w:val="both"/>
      </w:pPr>
      <w:r>
        <w:rPr>
          <w:rFonts w:ascii="Arial" w:cs="Arial" w:eastAsia="Arial" w:hAnsi="Arial"/>
          <w:sz w:val="24"/>
          <w:szCs w:val="24"/>
        </w:rPr>
        <w:t xml:space="preserve">- можно утверждать, что если ряд является стационарным по разности, то надлежащей методологией моделирования могла бы стать коинтеграция с использованием механизма коррекции ошибок, а если он является стационарным по тренду, то переменная тренда должна быть введена в правую часть уравнения регрессии для обеспечения стационарных свойств.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3. Модельные уравнения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разделе 1.3 представлена структура доходов, которую необходимо смоделировать. Под моделированием подразумевается разработка уравнения для каждого вида налогов (неналоговых доходов), которая представляет собой процесс, состоящий из следующих этапов: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8"/>
        <w:gridCol w:w="8020"/>
      </w:tblGrid>
      <w:tr>
        <w:tc>
          <w:tcPr>
            <w:tcW w:type="dxa" w:w="21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Процесс моделирования</w:t>
            </w:r>
          </w:p>
        </w:tc>
        <w:tc>
          <w:tcPr>
            <w:tcW w:type="dxa" w:w="8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Определение функциональной формы</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функциональную взаимосвязь между типами налогов и независимыми переменными на основе экономической теории или эмпирического опыта. Разработчик модели должен иметь четкое представление о факторах, которые могут повлиять на конкретный сбор налогов в будущем. Эта идея является основой для поиска надлежащих данных в поддержку теории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Изучение данных</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полученные в пункте 1, должны быть изучены для поиска причинно-следственных связей. В качестве метода рекомендуется простое построение графиков или парный тест на причинность по Грейнджеру</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Тестирование на наличие единичного корня</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Зависимые и объясняющие переменные должны быть проверены на стационарность. Как было сказано выше, только стационарные данные могут быть использованы для прогнозирования. Уровень, на котором достигается стационарность, определяет метод оценки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Выбор метода оценки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схему 1</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Интерпретация результатов оценки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 оценки приведет к получению результатов оценки. Особого внимания заслуживают оцененные коэффициенты. Пользователь модели должен решить, являются ли они приемлемыми. Также важно, чтобы оцененные коэффициенты должны быть статистически значимы</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Проведение остаточной диагностики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Остаточная диагностика должна рассказать нам о том, в каком состоянии находится модель со статистической точки зрения. Рекомендуется провести три типа тестов:</w:t>
            </w:r>
          </w:p>
          <w:p>
            <w:pPr>
              <w:jc w:val="left"/>
            </w:pPr>
            <w:r>
              <w:rPr>
                <w:rFonts w:ascii="Arial" w:cs="Arial" w:eastAsia="Arial" w:hAnsi="Arial"/>
                <w:sz w:val="24"/>
                <w:szCs w:val="24"/>
              </w:rPr>
              <w:t xml:space="preserve">- тест на серийную корреляцию;</w:t>
            </w:r>
          </w:p>
          <w:p>
            <w:pPr>
              <w:jc w:val="left"/>
            </w:pPr>
            <w:r>
              <w:rPr>
                <w:rFonts w:ascii="Arial" w:cs="Arial" w:eastAsia="Arial" w:hAnsi="Arial"/>
                <w:sz w:val="24"/>
                <w:szCs w:val="24"/>
              </w:rPr>
              <w:t xml:space="preserve">- тест на гетероскедастичность;</w:t>
            </w:r>
          </w:p>
          <w:p>
            <w:pPr>
              <w:jc w:val="left"/>
            </w:pPr>
            <w:r>
              <w:rPr>
                <w:rFonts w:ascii="Arial" w:cs="Arial" w:eastAsia="Arial" w:hAnsi="Arial"/>
                <w:sz w:val="24"/>
                <w:szCs w:val="24"/>
              </w:rPr>
              <w:t xml:space="preserve">- тест на нормальное распределение</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Тест на стабильность</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Тестирование на стабильность уравнений модели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Налоговый прогноз</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Последним шагом является налоговый прогноз, созданный моделью</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Этапы 1-8 можно найти в моделировании прямых и косвенных налогов.</w:t>
      </w:r>
    </w:p>
    <w:p>
      <w:pPr>
        <w:spacing w:after="120"/>
        <w:ind w:firstLine="708"/>
        <w:jc w:val="both"/>
      </w:pPr>
      <w:r>
        <w:rPr>
          <w:rFonts w:ascii="Arial" w:cs="Arial" w:eastAsia="Arial" w:hAnsi="Arial"/>
          <w:sz w:val="24"/>
          <w:szCs w:val="24"/>
        </w:rPr>
        <w:t xml:space="preserve">Оценки с помощью одного уравнения производились с целью построения эффективной модели доходов. Однако экономическая интерпретация некоторых причинно-следственных связей остается открытой на данный момент, что создает трудности в надлежащей спецификации модели. Самым тревожным аспектом моделирования была проблема нестационарности данных, которая была решена за относительно короткий период времени. Поэтому допускается небольшая неточность в определении отдельных уравнений, если соответствующая спецификация вносит значительный вклад в результаты принятой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Прямые налоги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Налог на прибыль (CIT)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 экономической теорией поступления от налогов на прибыль могут зависеть от четырех типов переменных:</w:t>
      </w:r>
    </w:p>
    <w:p>
      <w:pPr>
        <w:spacing w:after="120"/>
        <w:ind w:firstLine="708"/>
        <w:jc w:val="both"/>
      </w:pPr>
      <w:r>
        <w:rPr>
          <w:rFonts w:ascii="Arial" w:cs="Arial" w:eastAsia="Arial" w:hAnsi="Arial"/>
          <w:sz w:val="24"/>
          <w:szCs w:val="24"/>
        </w:rPr>
        <w:t xml:space="preserve">- изменения уровня цен: уровень инфляции, дефлятор ВВП или обменный курс;</w:t>
      </w:r>
    </w:p>
    <w:p>
      <w:pPr>
        <w:spacing w:after="120"/>
        <w:ind w:firstLine="708"/>
        <w:jc w:val="both"/>
      </w:pPr>
      <w:r>
        <w:rPr>
          <w:rFonts w:ascii="Arial" w:cs="Arial" w:eastAsia="Arial" w:hAnsi="Arial"/>
          <w:sz w:val="24"/>
          <w:szCs w:val="24"/>
        </w:rPr>
        <w:t xml:space="preserve">- номинального объема производства (ВВП);</w:t>
      </w:r>
    </w:p>
    <w:p>
      <w:pPr>
        <w:spacing w:after="120"/>
        <w:ind w:firstLine="708"/>
        <w:jc w:val="both"/>
      </w:pPr>
      <w:r>
        <w:rPr>
          <w:rFonts w:ascii="Arial" w:cs="Arial" w:eastAsia="Arial" w:hAnsi="Arial"/>
          <w:sz w:val="24"/>
          <w:szCs w:val="24"/>
        </w:rPr>
        <w:t xml:space="preserve">- номинального ВВП по факторной стоимости;</w:t>
      </w:r>
    </w:p>
    <w:p>
      <w:pPr>
        <w:spacing w:after="120"/>
        <w:ind w:firstLine="708"/>
        <w:jc w:val="both"/>
      </w:pPr>
      <w:r>
        <w:rPr>
          <w:rFonts w:ascii="Arial" w:cs="Arial" w:eastAsia="Arial" w:hAnsi="Arial"/>
          <w:sz w:val="24"/>
          <w:szCs w:val="24"/>
        </w:rPr>
        <w:t xml:space="preserve">- дохода, используемого в качестве показателя соответствующей налоговой базы (валовая операционная прибыль, смешанный доход);</w:t>
      </w:r>
    </w:p>
    <w:p>
      <w:pPr>
        <w:spacing w:after="120"/>
        <w:ind w:firstLine="708"/>
        <w:jc w:val="both"/>
      </w:pPr>
      <w:r>
        <w:rPr>
          <w:rFonts w:ascii="Arial" w:cs="Arial" w:eastAsia="Arial" w:hAnsi="Arial"/>
          <w:sz w:val="24"/>
          <w:szCs w:val="24"/>
        </w:rPr>
        <w:t xml:space="preserve">- эффективной ставки налога, которая определяется как отношение суммы CIT к налоговой базе.</w:t>
      </w:r>
    </w:p>
    <w:p>
      <w:pPr>
        <w:spacing w:after="120"/>
        <w:ind w:firstLine="708"/>
        <w:jc w:val="both"/>
      </w:pPr>
      <w:r>
        <w:rPr>
          <w:rFonts w:ascii="Arial" w:cs="Arial" w:eastAsia="Arial" w:hAnsi="Arial"/>
          <w:sz w:val="24"/>
          <w:szCs w:val="24"/>
        </w:rPr>
        <w:t xml:space="preserve">Функциональная связь может быть выражена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CIT = f (cpi, deflator GDP, exchange rate, GDP, GDP_fc, GOS, Mix income, CIT_R)</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Ожидается, что увеличение номинального объема производства и валовой операционной прибыли (GDP, GDP_fc, GOS) повышает доходы от прямых налогов. С учетом прогрессивной структуры прямого налогообложения экономическим субъектам придется платить более высокую долю своего дохода в виде налогов по мере увеличения их дохода.</w:t>
      </w:r>
    </w:p>
    <w:p>
      <w:pPr>
        <w:spacing w:after="120"/>
        <w:ind w:firstLine="708"/>
        <w:jc w:val="both"/>
      </w:pPr>
      <w:r>
        <w:rPr>
          <w:rFonts w:ascii="Arial" w:cs="Arial" w:eastAsia="Arial" w:hAnsi="Arial"/>
          <w:sz w:val="24"/>
          <w:szCs w:val="24"/>
        </w:rPr>
        <w:t xml:space="preserve">Аналогичным образом, общий объем поступлений от прямых налогов будет увеличиваться по мере повышения фактической ставки прямого налога. Предполагаемую позитивную взаимосвязь между общим объемом прямых налогов и темпами инфляции можно объяснить тем, что ежегодно размеры компенсаций работникам государственного и частного секторов корректируются с учетом надбавки на стоимость жизни, а эти дополнительные выплаты облагаются налогом.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Естественно, функциональная связь должна быть проверена на исторических данных. Анализ и оценка данных являются первым шагом в построении модели.</w:t>
      </w:r>
    </w:p>
    <w:p>
      <w:pPr>
        <w:spacing w:after="120"/>
        <w:ind w:firstLine="708"/>
        <w:jc w:val="both"/>
      </w:pPr>
      <w:r>
        <w:rPr>
          <w:rFonts w:ascii="Arial" w:cs="Arial" w:eastAsia="Arial" w:hAnsi="Arial"/>
          <w:sz w:val="24"/>
          <w:szCs w:val="24"/>
        </w:rPr>
        <w:t xml:space="preserve">Цель заключается в выявлении поведенческих связей между переменными модели. Кроме того, это может привести к возникновению новых потребностей в данных по различным сегментам экономики (и по различным переменным в рамках каждого сегмента).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уровня цен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не подтверждает влияние цен на налог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видно из таблицы выше, в качестве объясняющих переменных нельзя использовать дефлятор ВВП (pgdp), индекс потребительских цен (CPI) и обменный курс (е).</w:t>
      </w:r>
    </w:p>
    <w:p>
      <w:pPr>
        <w:spacing w:after="120"/>
        <w:ind w:firstLine="708"/>
        <w:jc w:val="both"/>
      </w:pPr>
      <w:r>
        <w:rPr>
          <w:rFonts w:ascii="Arial" w:cs="Arial" w:eastAsia="Arial" w:hAnsi="Arial"/>
          <w:sz w:val="24"/>
          <w:szCs w:val="24"/>
        </w:rPr>
        <w:t xml:space="preserve">С другой стороны, была обнаружена относительно сильная связь между налогом на прибыль, промышленным производством и номинальным ВВП.</w:t>
      </w:r>
    </w:p>
    <w:p>
      <w:pPr>
        <w:spacing w:after="120"/>
        <w:ind w:firstLine="708"/>
        <w:jc w:val="both"/>
      </w:pPr>
      <w:r>
        <w:rPr>
          <w:rFonts w:ascii="Arial" w:cs="Arial" w:eastAsia="Arial" w:hAnsi="Arial"/>
          <w:sz w:val="24"/>
          <w:szCs w:val="24"/>
        </w:rPr>
        <w:t xml:space="preserve">Тест Грейнджера на причинность подтверждает этот факт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мала (менее 1% или чуть выше 1%), поэтому мы можем отклонить нулевую гипотезу и принять Н1, который подтверждает тесную однонаправленную причинно-следственную связь между налогом на прибыль, промышленным производством и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Profit tax rate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была рассчитана по формуле, представленной на панели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констатировать, что эффективная ставка налога на прибыль зависит от скорректированной валовой операционной прибыли (GOS) и от доли смешанного дохода, которая входит в расчет. Интенсивность корректировки или то, какая часть GOS учитывается в этом уравнении, полностью зависит от пользователя по моделированию и его знаний об экономической среде. То же самое относится к доле смешанного дохода (r_mix).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Прежде чем выбрать метод оценки, необходимо проверить временные ряды на наличие единичного корня или стационарность. Для этого применяется стандартный расширенный тест Дики-Фуллера (ADF). Если он доказывает, что данные являются стационарными, можно использовать OLS. Однако, если тест показывает проблему нестационарности временных рядов, необходимо применять второй и третий методы.</w:t>
      </w:r>
    </w:p>
    <w:p>
      <w:pPr>
        <w:spacing w:after="120"/>
        <w:ind w:firstLine="708"/>
        <w:jc w:val="both"/>
      </w:pPr>
      <w:r>
        <w:rPr>
          <w:rFonts w:ascii="Arial" w:cs="Arial" w:eastAsia="Arial" w:hAnsi="Arial"/>
          <w:sz w:val="24"/>
          <w:szCs w:val="24"/>
        </w:rPr>
        <w:t xml:space="preserve">Можно утверждать, что все соответствующие зависимые и пояснительные переменные являются нестационарными.</w:t>
      </w:r>
    </w:p>
    <w:p>
      <w:pPr>
        <w:spacing w:after="120"/>
        <w:ind w:firstLine="708"/>
        <w:jc w:val="both"/>
      </w:pPr>
      <w:r>
        <w:rPr>
          <w:rFonts w:ascii="Arial" w:cs="Arial" w:eastAsia="Arial" w:hAnsi="Arial"/>
          <w:sz w:val="24"/>
          <w:szCs w:val="24"/>
        </w:rPr>
        <w:t xml:space="preserve">Зависимая переменная CIT является нестационарной на уровне, как показано в тесте ADF ниже. Вероятность нестационарности составляет 36,547%, что неприемлемо (вероятность должна быть менее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Однако результаты тестирования ADF в первой разности являются следующими: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утверждать, что налог на прибыль (CIT) является стационарным в первой разности (соответствующая вероятность составляет менее 5%).</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по выбранным переменным.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9"/>
        <w:gridCol w:w="1567"/>
        <w:gridCol w:w="2601"/>
      </w:tblGrid>
      <w:tr>
        <w:tc>
          <w:tcPr>
            <w:tcW w:type="dxa" w:w="60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w:t>
            </w:r>
          </w:p>
        </w:tc>
        <w:tc>
          <w:tcPr>
            <w:tcW w:type="dxa" w:w="26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промышленного производства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CIT_io</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Эффективная ставка налога на прибыль</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CIT_R</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тестирования на единичный корень позволяют использовать </w:t>
      </w:r>
      <w:r>
        <w:rPr>
          <w:rFonts w:ascii="Arial" w:cs="Arial" w:eastAsia="Arial" w:hAnsi="Arial"/>
          <w:b/>
          <w:bCs/>
          <w:sz w:val="24"/>
          <w:szCs w:val="24"/>
        </w:rPr>
        <w:t xml:space="preserve">ARDL.</w:t>
      </w:r>
      <w:r>
        <w:rPr>
          <w:rFonts w:ascii="Arial" w:cs="Arial" w:eastAsia="Arial" w:hAnsi="Arial"/>
          <w:sz w:val="24"/>
          <w:szCs w:val="24"/>
        </w:rPr>
        <w:t xml:space="preserve"> Все переменные стационарны на первой разности или на уровне.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результата оценки:</w:t>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96,407%. Это означает, что вариации cit_f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У этих переменных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Поскольку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и если независимая переменная увеличится на 1 единицу, сбор налогов уменьшится, при условии, что другие независимые переменные должны быть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Методологическое примечание: Как обнаружить серийную корреляцию?</w:t>
            </w:r>
          </w:p>
          <w:p>
            <w:pPr>
              <w:jc w:val="left"/>
            </w:pPr>
            <w:r>
              <w:rPr>
                <w:rFonts w:ascii="Arial" w:cs="Arial" w:eastAsia="Arial" w:hAnsi="Arial"/>
                <w:sz w:val="24"/>
                <w:szCs w:val="24"/>
              </w:rPr>
              <w:t xml:space="preserve">- Мы можем проверить статистику DW, обычно, если DW близок к 2, вероятно, последовательной корреляции нет. Если на модель влияет последовательная корреляция, мы не можем принять модель для прогнозирования.</w:t>
            </w:r>
          </w:p>
          <w:p>
            <w:pPr>
              <w:jc w:val="left"/>
            </w:pPr>
            <w:r>
              <w:rPr>
                <w:rFonts w:ascii="Arial" w:cs="Arial" w:eastAsia="Arial" w:hAnsi="Arial"/>
                <w:sz w:val="24"/>
                <w:szCs w:val="24"/>
              </w:rPr>
              <w:t xml:space="preserve">Но, если модель </w:t>
            </w:r>
            <w:r>
              <w:rPr>
                <w:rFonts w:ascii="Arial" w:cs="Arial" w:eastAsia="Arial" w:hAnsi="Arial"/>
                <w:b/>
                <w:bCs/>
                <w:sz w:val="24"/>
                <w:szCs w:val="24"/>
              </w:rPr>
              <w:t xml:space="preserve">авторегрессионная, мы не можем использовать DW.</w:t>
            </w:r>
            <w:r>
              <w:rPr>
                <w:rFonts w:ascii="Arial" w:cs="Arial" w:eastAsia="Arial" w:hAnsi="Arial"/>
                <w:sz w:val="24"/>
                <w:szCs w:val="24"/>
              </w:rPr>
              <w:t xml:space="preserve"> DW не подходит для авторегрессионных моделей. Мы должны использовать Q статистику независимо от того, есть ли последовательная корреляция или нет.</w:t>
            </w:r>
          </w:p>
          <w:p>
            <w:pPr>
              <w:jc w:val="left"/>
            </w:pPr>
            <w:r>
              <w:rPr>
                <w:rFonts w:ascii="Arial" w:cs="Arial" w:eastAsia="Arial" w:hAnsi="Arial"/>
                <w:sz w:val="24"/>
                <w:szCs w:val="24"/>
              </w:rPr>
              <w:t xml:space="preserve">- </w:t>
            </w:r>
            <w:r>
              <w:rPr>
                <w:rFonts w:ascii="Arial" w:cs="Arial" w:eastAsia="Arial" w:hAnsi="Arial"/>
                <w:sz w:val="24"/>
                <w:szCs w:val="24"/>
              </w:rPr>
              <w:t xml:space="preserve">Инструкция по работе с</w:t>
            </w:r>
            <w:r>
              <w:rPr>
                <w:rFonts w:ascii="Arial" w:cs="Arial" w:eastAsia="Arial" w:hAnsi="Arial"/>
                <w:sz w:val="24"/>
                <w:szCs w:val="24"/>
              </w:rPr>
              <w:t xml:space="preserve"> EViews View/residual diagnostic/correlogram - Q statistic</w:t>
            </w:r>
          </w:p>
          <w:p>
            <w:pPr>
              <w:jc w:val="left"/>
            </w:pPr>
            <w:r>
              <w:rPr>
                <w:rFonts w:ascii="Arial" w:cs="Arial" w:eastAsia="Arial" w:hAnsi="Arial"/>
                <w:sz w:val="24"/>
                <w:szCs w:val="24"/>
              </w:rPr>
              <w:t xml:space="preserve">- Спецификация лага.</w:t>
            </w:r>
          </w:p>
          <w:p>
            <w:pPr>
              <w:jc w:val="left"/>
            </w:pPr>
            <w:r>
              <w:rPr>
                <w:rFonts w:ascii="Arial" w:cs="Arial" w:eastAsia="Arial" w:hAnsi="Arial"/>
                <w:sz w:val="24"/>
                <w:szCs w:val="24"/>
              </w:rPr>
              <w:t xml:space="preserve">Рекомендации: Возьмите примерно 1/3 от объема выборки. В нашем случае было взято 7 лагов.</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Рисунок.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AC - коэффициент автокорреляции 0,168 означает первый всплеск (1).</w:t>
            </w:r>
          </w:p>
          <w:p>
            <w:pPr>
              <w:jc w:val="left"/>
            </w:pPr>
            <w:r>
              <w:rPr>
                <w:rFonts w:ascii="Arial" w:cs="Arial" w:eastAsia="Arial" w:hAnsi="Arial"/>
                <w:sz w:val="24"/>
                <w:szCs w:val="24"/>
              </w:rPr>
              <w:t xml:space="preserve">Если АС равен нулю или близок к нулю, мы можем считать, что автокорреляция отсутствует.</w:t>
            </w:r>
          </w:p>
          <w:p>
            <w:pPr>
              <w:jc w:val="left"/>
            </w:pPr>
            <w:r>
              <w:rPr>
                <w:rFonts w:ascii="Arial" w:cs="Arial" w:eastAsia="Arial" w:hAnsi="Arial"/>
                <w:b/>
                <w:bCs/>
                <w:sz w:val="24"/>
                <w:szCs w:val="24"/>
              </w:rPr>
              <w:t xml:space="preserve">Другая интерпретация: если пики находятся в пределах двух прерывистых линий, то автокорреляция отсутствует.</w:t>
            </w:r>
          </w:p>
          <w:p>
            <w:pPr>
              <w:jc w:val="left"/>
            </w:pPr>
            <w:r>
              <w:rPr>
                <w:rFonts w:ascii="Arial" w:cs="Arial" w:eastAsia="Arial" w:hAnsi="Arial"/>
                <w:sz w:val="24"/>
                <w:szCs w:val="24"/>
              </w:rPr>
              <w:t xml:space="preserve">Мы можем проверить это также математически с помощью статистики Q и соответствующей вероятности.</w:t>
            </w:r>
          </w:p>
          <w:p>
            <w:pPr>
              <w:jc w:val="left"/>
            </w:pPr>
            <w:r>
              <w:rPr>
                <w:rFonts w:ascii="Arial" w:cs="Arial" w:eastAsia="Arial" w:hAnsi="Arial"/>
                <w:sz w:val="24"/>
                <w:szCs w:val="24"/>
              </w:rPr>
              <w:t xml:space="preserve">- Нулевая гипотеза: автокорреляция в остатке отсутствует.</w:t>
            </w:r>
          </w:p>
          <w:p>
            <w:pPr>
              <w:jc w:val="left"/>
            </w:pPr>
            <w:r>
              <w:rPr>
                <w:rFonts w:ascii="Arial" w:cs="Arial" w:eastAsia="Arial" w:hAnsi="Arial"/>
                <w:sz w:val="24"/>
                <w:szCs w:val="24"/>
              </w:rPr>
              <w:t xml:space="preserve">Вероятность всегда в основном больше 5%. Мы не можем отвергнуть Н0.</w:t>
            </w:r>
          </w:p>
          <w:p>
            <w:pPr>
              <w:jc w:val="left"/>
            </w:pPr>
            <w:r>
              <w:rPr>
                <w:rFonts w:ascii="Arial" w:cs="Arial" w:eastAsia="Arial" w:hAnsi="Arial"/>
                <w:b/>
                <w:bCs/>
                <w:sz w:val="24"/>
                <w:szCs w:val="24"/>
              </w:rPr>
              <w:t xml:space="preserve">- Результат: </w:t>
            </w:r>
            <w:r>
              <w:rPr>
                <w:rFonts w:ascii="Arial" w:cs="Arial" w:eastAsia="Arial" w:hAnsi="Arial"/>
                <w:sz w:val="24"/>
                <w:szCs w:val="24"/>
              </w:rPr>
              <w:t xml:space="preserve">остатки не являются серийно коррелированными.</w:t>
            </w:r>
          </w:p>
          <w:p>
            <w:pPr>
              <w:jc w:val="left"/>
            </w:pPr>
            <w:r>
              <w:rPr>
                <w:rFonts w:ascii="Arial" w:cs="Arial" w:eastAsia="Arial" w:hAnsi="Arial"/>
                <w:b/>
                <w:bCs/>
                <w:sz w:val="24"/>
                <w:szCs w:val="24"/>
              </w:rPr>
              <w:t xml:space="preserve">Эта методология применялась для всех видов налогов, взимаемых на центральном или местном уровне. В дальнейшем тексте она повторяться не будет, только результат: коррелограмма остатков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Результат:</w:t>
      </w:r>
      <w:r>
        <w:rPr>
          <w:rFonts w:ascii="Arial" w:cs="Arial" w:eastAsia="Arial" w:hAnsi="Arial"/>
          <w:sz w:val="24"/>
          <w:szCs w:val="24"/>
        </w:rPr>
        <w:t xml:space="preserve"> остатки не являются серийно коррелированными.</w:t>
      </w:r>
    </w:p>
    <w:p>
      <w:pPr>
        <w:spacing w:after="120"/>
        <w:ind w:firstLine="708"/>
        <w:jc w:val="both"/>
      </w:pPr>
      <w:r>
        <w:rPr>
          <w:rFonts w:ascii="Arial" w:cs="Arial" w:eastAsia="Arial" w:hAnsi="Arial"/>
          <w:sz w:val="24"/>
          <w:szCs w:val="24"/>
        </w:rPr>
        <w:t xml:space="preserve">Этот метод тестирования последовательной корреляции был применен в следующих уравнениях, но без указания только результатов, полученных с помощью коррелограммы: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трех вышеуказанных тестов доказывают, что модель CIT является сильной со статистической точки зрения.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CUSUM-тест (сокр. от англ. CUmulative SUM - "кумулятивная сумма") подтвердил устойчивость оцениваемого уравнения, поскольку линия уравнения (синяя) находится в интервале значимости, заданном двумя красными линиями.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тестированию CUSUM</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уравнение</w:t>
      </w:r>
      <w:r>
        <w:rPr>
          <w:rFonts w:ascii="Arial" w:cs="Arial" w:eastAsia="Arial" w:hAnsi="Arial"/>
          <w:sz w:val="24"/>
          <w:szCs w:val="24"/>
        </w:rPr>
        <w:t xml:space="preserve">, </w:t>
      </w:r>
      <w:r>
        <w:rPr>
          <w:rFonts w:ascii="Arial" w:cs="Arial" w:eastAsia="Arial" w:hAnsi="Arial"/>
          <w:sz w:val="24"/>
          <w:szCs w:val="24"/>
        </w:rPr>
        <w:t xml:space="preserve">затем</w:t>
      </w:r>
    </w:p>
    <w:p>
      <w:pPr>
        <w:spacing w:after="120"/>
        <w:jc w:val="both"/>
      </w:pPr>
      <w:r>
        <w:rPr>
          <w:rFonts w:ascii="Arial" w:cs="Arial" w:eastAsia="Arial" w:hAnsi="Arial"/>
          <w:sz w:val="24"/>
          <w:szCs w:val="24"/>
        </w:rPr>
        <w:t xml:space="preserve">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CIT</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 наконец, на приведенной ниже диаграмме показан прогноз налога на прибыль, полученный с помощью модели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Другие прямые налоги (td_mis)</w:t>
      </w:r>
    </w:p>
    <w:p>
      <w:pPr>
        <w:spacing w:after="120"/>
        <w:ind w:firstLine="708"/>
        <w:jc w:val="both"/>
      </w:pPr>
      <w:r>
        <w:rPr>
          <w:rFonts w:ascii="Arial" w:cs="Arial" w:eastAsia="Arial" w:hAnsi="Arial"/>
          <w:sz w:val="24"/>
          <w:szCs w:val="24"/>
        </w:rPr>
        <w:t xml:space="preserve">Прогноз производится методом однократного экспоненциального сглаживания. Руководство выглядит следующим образом:</w:t>
      </w:r>
    </w:p>
    <w:p>
      <w:pPr>
        <w:spacing w:after="120"/>
        <w:ind w:firstLine="708"/>
        <w:jc w:val="both"/>
      </w:pPr>
      <w:r>
        <w:rPr>
          <w:rFonts w:ascii="Arial" w:cs="Arial" w:eastAsia="Arial" w:hAnsi="Arial"/>
          <w:sz w:val="24"/>
          <w:szCs w:val="24"/>
        </w:rPr>
        <w:t xml:space="preserve">- откройте временной ряд td_mis;</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proc</w:t>
      </w:r>
      <w:r>
        <w:rPr>
          <w:rFonts w:ascii="Arial" w:cs="Arial" w:eastAsia="Arial" w:hAnsi="Arial"/>
          <w:sz w:val="24"/>
          <w:szCs w:val="24"/>
        </w:rPr>
        <w:t xml:space="preserve">/</w:t>
      </w:r>
      <w:r>
        <w:rPr>
          <w:rFonts w:ascii="Arial" w:cs="Arial" w:eastAsia="Arial" w:hAnsi="Arial"/>
          <w:sz w:val="24"/>
          <w:szCs w:val="24"/>
        </w:rPr>
        <w:t xml:space="preserve">exponential smoothing</w:t>
      </w:r>
      <w:r>
        <w:rPr>
          <w:rFonts w:ascii="Arial" w:cs="Arial" w:eastAsia="Arial" w:hAnsi="Arial"/>
          <w:sz w:val="24"/>
          <w:szCs w:val="24"/>
        </w:rPr>
        <w:t xml:space="preserve">/</w:t>
      </w:r>
      <w:r>
        <w:rPr>
          <w:rFonts w:ascii="Arial" w:cs="Arial" w:eastAsia="Arial" w:hAnsi="Arial"/>
          <w:sz w:val="24"/>
          <w:szCs w:val="24"/>
        </w:rPr>
        <w:t xml:space="preserve">single exponential smoothing</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нажмите ОК.</w:t>
      </w:r>
    </w:p>
    <w:p>
      <w:pPr>
        <w:spacing w:after="120"/>
        <w:ind w:firstLine="708"/>
        <w:jc w:val="both"/>
      </w:pPr>
      <w:r>
        <w:rPr>
          <w:rFonts w:ascii="Arial" w:cs="Arial" w:eastAsia="Arial" w:hAnsi="Arial"/>
          <w:sz w:val="24"/>
          <w:szCs w:val="24"/>
        </w:rPr>
        <w:t xml:space="preserve">EViews создаст новый временной ряд (td_missm) со следующим результатом: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Непрямые налоги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Внутренние акцизы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Функциональная форма</w:t>
      </w:r>
    </w:p>
    <w:p>
      <w:pPr>
        <w:spacing w:after="120"/>
        <w:ind w:firstLine="708"/>
        <w:jc w:val="both"/>
      </w:pPr>
      <w:r>
        <w:rPr>
          <w:rFonts w:ascii="Arial" w:cs="Arial" w:eastAsia="Arial" w:hAnsi="Arial"/>
          <w:sz w:val="24"/>
          <w:szCs w:val="24"/>
        </w:rPr>
        <w:t xml:space="preserve">Функциональная форма выводится из общепринятой теории и/или из личного опыта разработчика модели, участвующего в составлении прогнозов доходов. Рекомендуется записывать эту зависимость как функцию зависимой переменной (тип налога - внутренний акциз - exc_d) и объясняющих переменных, которые должны объяснить поступление exc_d в прошлом.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Exc_d = f (wrtr*, exc_d_r, pgdp_2010)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Сокращение "wrtr" обозначает оптовую, розничную торговлю и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демонстрирует тесную взаимосвязь между внутренними акцизами и уровнем цен, измеряемым дефлятором реального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составляет менее 1%, что означает сильную причинно-следственную двунаправленную связь между exc_d и pgdp_2010. Мы можем отказаться от нулевой гипотезы и принять Н1 которая подтверждает сильную однонаправленную причинно-следственную связь.</w:t>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Для обнаружения (не)стационарности использовался расширенный тест Дики-Фуллера (ADF). В таблице ниже представлены результаты тестирования.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8"/>
        <w:gridCol w:w="2508"/>
        <w:gridCol w:w="2972"/>
      </w:tblGrid>
      <w:tr>
        <w:tc>
          <w:tcPr>
            <w:tcW w:type="dxa" w:w="4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внутренние</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внутренних акцизов</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Exc_d_r</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Стационарность по первой разности предполагает использование моделирования коррекции ошибок. Однако при тестировании коинтеграция не была доказана, поэтому в качестве метода оценки был выбран </w:t>
      </w:r>
      <w:r>
        <w:rPr>
          <w:rFonts w:ascii="Arial" w:cs="Arial" w:eastAsia="Arial" w:hAnsi="Arial"/>
          <w:b/>
          <w:bCs/>
          <w:sz w:val="24"/>
          <w:szCs w:val="24"/>
        </w:rPr>
        <w:t xml:space="preserve">ARDL.</w:t>
      </w:r>
      <w:r>
        <w:rPr>
          <w:rFonts w:ascii="Arial" w:cs="Arial" w:eastAsia="Arial" w:hAnsi="Arial"/>
          <w:sz w:val="24"/>
          <w:szCs w:val="24"/>
        </w:rPr>
        <w:t xml:space="preserve">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86,407%. Это означает, что вариации exc_d_f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P-значение очень высокое.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Эти критерии не имеет смысла использовать в авторегрессионных моделях, они совместно зависят по определениям.</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другие независимые переменные фиксированы.</w:t>
      </w:r>
    </w:p>
    <w:p>
      <w:pPr>
        <w:spacing w:after="120"/>
        <w:ind w:firstLine="708"/>
        <w:jc w:val="both"/>
      </w:pPr>
      <w:r>
        <w:rPr>
          <w:rFonts w:ascii="Arial" w:cs="Arial" w:eastAsia="Arial" w:hAnsi="Arial"/>
          <w:sz w:val="24"/>
          <w:szCs w:val="24"/>
        </w:rPr>
        <w:t xml:space="preserve">Все критерии оценки удовлетворительны, за исключением t-статистики. Но F-статистика, где соответствующая вероятность почти равна 0 (менее 5%), показывает, что все объясняющие переменные совместно могут влиять на зависимую переменную. Это причина, по которой мы можем принять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могут подтвердить, что модель ex_d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Устойчивость оцениваемого уравнения была подтверждена тестом CUSUM, так как линия уравнения (синяя) находится в интервале значимости (5%), заданном двумя красными линиями.</w:t>
      </w:r>
    </w:p>
    <w:p>
      <w:pPr>
        <w:spacing w:after="120"/>
        <w:jc w:val="both"/>
      </w:pPr>
      <w:r>
        <w:rPr>
          <w:rFonts w:ascii="Arial" w:cs="Arial" w:eastAsia="Arial" w:hAnsi="Arial"/>
          <w:sz w:val="24"/>
          <w:szCs w:val="24"/>
        </w:rPr>
        <w:t xml:space="preserve">Прогноз внутренних акцизов, полученный с помощью расчетного уравнения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приведенном ниже графике представлен прогноз exc_d, созданный моделью, включая численное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Внешние акцизы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Внешние акцизы состоят из:</w:t>
      </w:r>
    </w:p>
    <w:p>
      <w:pPr>
        <w:spacing w:after="120"/>
        <w:ind w:firstLine="708"/>
        <w:jc w:val="both"/>
      </w:pPr>
      <w:r>
        <w:rPr>
          <w:rFonts w:ascii="Arial" w:cs="Arial" w:eastAsia="Arial" w:hAnsi="Arial"/>
          <w:sz w:val="24"/>
          <w:szCs w:val="24"/>
        </w:rPr>
        <w:t xml:space="preserve">- акцизов, применимых к третьим странам;</w:t>
      </w:r>
    </w:p>
    <w:p>
      <w:pPr>
        <w:spacing w:after="120"/>
        <w:ind w:firstLine="708"/>
        <w:jc w:val="both"/>
      </w:pPr>
      <w:r>
        <w:rPr>
          <w:rFonts w:ascii="Arial" w:cs="Arial" w:eastAsia="Arial" w:hAnsi="Arial"/>
          <w:sz w:val="24"/>
          <w:szCs w:val="24"/>
        </w:rPr>
        <w:t xml:space="preserve">- акцизов, применимых к ЕАЭС.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Внешние акцизы - третьи страны.</w:t>
      </w:r>
    </w:p>
    <w:p>
      <w:pPr>
        <w:spacing w:after="120"/>
        <w:ind w:firstLine="708"/>
        <w:jc w:val="both"/>
      </w:pPr>
      <w:r>
        <w:rPr>
          <w:rFonts w:ascii="Arial" w:cs="Arial" w:eastAsia="Arial" w:hAnsi="Arial"/>
          <w:sz w:val="24"/>
          <w:szCs w:val="24"/>
        </w:rPr>
        <w:t xml:space="preserve">Теория оценки основана на предположении, что внешние акцизы зависят от будущего развития импорта в третьи страны и уровня цен.</w:t>
      </w:r>
    </w:p>
    <w:p>
      <w:pPr>
        <w:spacing w:after="120"/>
        <w:jc w:val="both"/>
      </w:pPr>
      <w:r>
        <w:rPr>
          <w:rFonts w:ascii="Arial" w:cs="Arial" w:eastAsia="Arial" w:hAnsi="Arial"/>
          <w:sz w:val="24"/>
          <w:szCs w:val="24"/>
        </w:rPr>
        <w:t xml:space="preserve">ехс</w:t>
      </w:r>
      <w:r>
        <w:rPr>
          <w:rFonts w:ascii="Arial" w:cs="Arial" w:eastAsia="Arial" w:hAnsi="Arial"/>
          <w:sz w:val="24"/>
          <w:szCs w:val="24"/>
        </w:rPr>
        <w:t xml:space="preserve">_</w:t>
      </w:r>
      <w:r>
        <w:rPr>
          <w:rFonts w:ascii="Arial" w:cs="Arial" w:eastAsia="Arial" w:hAnsi="Arial"/>
          <w:sz w:val="24"/>
          <w:szCs w:val="24"/>
        </w:rPr>
        <w:t xml:space="preserve">е</w:t>
      </w:r>
      <w:r>
        <w:rPr>
          <w:rFonts w:ascii="Arial" w:cs="Arial" w:eastAsia="Arial" w:hAnsi="Arial"/>
          <w:sz w:val="24"/>
          <w:szCs w:val="24"/>
        </w:rPr>
        <w:t xml:space="preserve"> = f (im_3c, </w:t>
      </w:r>
      <w:r>
        <w:rPr>
          <w:rFonts w:ascii="Arial" w:cs="Arial" w:eastAsia="Arial" w:hAnsi="Arial"/>
          <w:sz w:val="24"/>
          <w:szCs w:val="24"/>
        </w:rPr>
        <w:t xml:space="preserve">е</w:t>
      </w:r>
      <w:r>
        <w:rPr>
          <w:rFonts w:ascii="Arial" w:cs="Arial" w:eastAsia="Arial" w:hAnsi="Arial"/>
          <w:sz w:val="24"/>
          <w:szCs w:val="24"/>
        </w:rPr>
        <w:t xml:space="preserve">,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составляет около 5%, поэтому мы можем отказаться от нулевой гипотезы и принять Н1, который подтверждает сильную двунаправленную причинно-следственную связь между ехс_е и импортом в третьи страны.</w:t>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97"/>
        <w:gridCol w:w="1614"/>
        <w:gridCol w:w="2967"/>
      </w:tblGrid>
      <w:tr>
        <w:tc>
          <w:tcPr>
            <w:tcW w:type="dxa" w:w="55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EViews</w:t>
            </w:r>
          </w:p>
        </w:tc>
        <w:tc>
          <w:tcPr>
            <w:tcW w:type="dxa" w:w="2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акцизы - третьи страны</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Ехс_е</w:t>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r>
        <w:tc>
          <w:tcPr>
            <w:tcW w:type="dxa" w:w="5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из третьих стран</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Im_3с</w:t>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 результатам тестирования единичного корня была выбрана модель </w:t>
      </w:r>
      <w:r>
        <w:rPr>
          <w:rFonts w:ascii="Arial" w:cs="Arial" w:eastAsia="Arial" w:hAnsi="Arial"/>
          <w:b/>
          <w:bCs/>
          <w:sz w:val="24"/>
          <w:szCs w:val="24"/>
        </w:rPr>
        <w:t xml:space="preserve">VAR.</w:t>
      </w:r>
      <w:r>
        <w:rPr>
          <w:rFonts w:ascii="Arial" w:cs="Arial" w:eastAsia="Arial" w:hAnsi="Arial"/>
          <w:sz w:val="24"/>
          <w:szCs w:val="24"/>
        </w:rPr>
        <w:t xml:space="preserve"> Результаты проиллюстрированы в таблице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73,42%. Это означает, что вариации exc_e_f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Поскольку F-статистика и соответствующая ей вероятность составляют 0,34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Из-за недостаточного количества наблюдений (всего 4) тесты на гетероскедастичность и нормальность не проводились.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Устойчивость оцениваемого уравнения была подтверждена с помощью теста CUSUM, так как линия уравнения (синяя) находится в интервале значимости, заданном двумя красными линиями.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проверке уравнения на устойчивость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Откройте уравнение</w:t>
      </w:r>
      <w:r>
        <w:rPr>
          <w:rFonts w:ascii="Arial" w:cs="Arial" w:eastAsia="Arial" w:hAnsi="Arial"/>
          <w:sz w:val="24"/>
          <w:szCs w:val="24"/>
        </w:rPr>
        <w:t xml:space="preserve">, </w:t>
      </w:r>
      <w:r>
        <w:rPr>
          <w:rFonts w:ascii="Arial" w:cs="Arial" w:eastAsia="Arial" w:hAnsi="Arial"/>
          <w:sz w:val="24"/>
          <w:szCs w:val="24"/>
        </w:rPr>
        <w:t xml:space="preserve">затем</w:t>
      </w:r>
    </w:p>
    <w:p>
      <w:pPr>
        <w:spacing w:after="120"/>
        <w:jc w:val="both"/>
      </w:pPr>
      <w:r>
        <w:rPr>
          <w:rFonts w:ascii="Arial" w:cs="Arial" w:eastAsia="Arial" w:hAnsi="Arial"/>
          <w:sz w:val="24"/>
          <w:szCs w:val="24"/>
        </w:rPr>
        <w:t xml:space="preserve">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внешних акцизов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приведенном ниже графике показан прогноз внешних акцизов, полученный с помощью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Налог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задается следующим уравнением:</w:t>
      </w:r>
    </w:p>
    <w:p>
      <w:pPr>
        <w:spacing w:after="120"/>
        <w:jc w:val="both"/>
      </w:pPr>
      <w:r>
        <w:rPr>
          <w:rFonts w:ascii="Arial" w:cs="Arial" w:eastAsia="Arial" w:hAnsi="Arial"/>
          <w:sz w:val="24"/>
          <w:szCs w:val="24"/>
        </w:rPr>
        <w:t xml:space="preserve">Sales tax = f (real GDP deflator, sales tax rate)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причинно-следственной связи Грейнджера показывает сильную однонаправленную связь между налогом с продаж и реальным дефлятором (pgdp_2010). Мы можем заключить, что любое изменение объема продаж повлияет на цены.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7"/>
        <w:gridCol w:w="2650"/>
        <w:gridCol w:w="3141"/>
      </w:tblGrid>
      <w:tr>
        <w:tc>
          <w:tcPr>
            <w:tcW w:type="dxa" w:w="4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с продаж</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Sales_r</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Стационарность при первой разнице является предварительным условием для моделирования с исправлением ошибок. Однако тест на коинтеграцию Йохансена должен сначала подтвердить коинтеграцию.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Результатом теста Йохансена является то, что существует 1 коинтегрирующее уравнение на уровне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коинтеграционного тестирования впервые была запущена модель исправления ошибок (ЕСМ). Но полученные результаты были неудовлетворительными, скорее всего, из-за очень коротких временных рядов. Поэтому в качестве альтернативы использовался </w:t>
      </w:r>
      <w:r>
        <w:rPr>
          <w:rFonts w:ascii="Arial" w:cs="Arial" w:eastAsia="Arial" w:hAnsi="Arial"/>
          <w:b/>
          <w:bCs/>
          <w:sz w:val="24"/>
          <w:szCs w:val="24"/>
        </w:rPr>
        <w:t xml:space="preserve">ARDL</w:t>
      </w:r>
      <w:r>
        <w:rPr>
          <w:rFonts w:ascii="Arial" w:cs="Arial" w:eastAsia="Arial" w:hAnsi="Arial"/>
          <w:sz w:val="24"/>
          <w:szCs w:val="24"/>
        </w:rPr>
        <w:t xml:space="preserve"> с выводом оценки, как показано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96,67%. Это означает, что изменения в sales_f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Все независимые переменные значимы. Т-статистика высока или р-значения очень низки.</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Так как F-статистика и соответствующая ей вероятность равна 0 (менее 5%). Это демонстрирует, что все независимые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Подводя итог, можно сказать, что расчетное уравнение продаж не подвержено влиянию автокорреляции, гетероскедастичности и проблем нормального распределения. Результаты трех тестов доказали, что уравнение является сильной со статистической точки зрения.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с продаж.</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ARDL, модель произвела следующий прогноз налога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НДС внутренний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целом ожидается рост внутренних сборов НДС в результате увеличения частного потребления, внутреннего спроса или денежных переводов из-за рубежа. Даже при неизменной действующей ставке НДС хозяйствующим субъектам придется платить более высокие налоги на приобретение конечных товаров и услуг.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другой стороны, увеличение внутренней ставки НДС может уменьшить доходы (отрицательная зависимость). Предполагается положительная связь между внутренним НДС и частным потреблением, внутренним спросом, денежными переводами и уровнем инфляции.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VAT_d = f (C_p, DD, Tr_pf, vat_d_r, Deflator GDP)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Традиционно связь между частным потреблением и внутренним НДС проверялась в первую очередь.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Эта причинно-следственная связь не подтвердилась. Соответствующая вероятность составляет 5,63%, что немного выше 5%.</w:t>
      </w:r>
    </w:p>
    <w:p>
      <w:pPr>
        <w:spacing w:after="120"/>
        <w:ind w:firstLine="708"/>
        <w:jc w:val="both"/>
      </w:pPr>
      <w:r>
        <w:rPr>
          <w:rFonts w:ascii="Arial" w:cs="Arial" w:eastAsia="Arial" w:hAnsi="Arial"/>
          <w:sz w:val="24"/>
          <w:szCs w:val="24"/>
        </w:rPr>
        <w:t xml:space="preserve">Тест причинно-следственной связи по Грейнджеру выявил тесную взаимосвязь между внутренним спросом (DD) и внутренним НДС. Объяснение заключается в том, что более широко определенная категория расходов, которая включает не только частное потребление, но также государственное потребление и инвестиции, положительно повлияет на взимаемый VAT_D.</w:t>
      </w:r>
    </w:p>
    <w:p>
      <w:pPr>
        <w:spacing w:after="120"/>
        <w:ind w:firstLine="708"/>
        <w:jc w:val="both"/>
      </w:pPr>
      <w:r>
        <w:rPr>
          <w:rFonts w:ascii="Arial" w:cs="Arial" w:eastAsia="Arial" w:hAnsi="Arial"/>
          <w:sz w:val="24"/>
          <w:szCs w:val="24"/>
        </w:rPr>
        <w:t xml:space="preserve">Во-вторых, очевидно влияние изменения цен. Дефлятор реального ВВП (pgdp_2010) может существенно повлиять на внутренний НДС, он также оказывает влияние на DD, который, в свою очередь, может повлиять на VAT_d.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заключение следует отметить, что связь между внутренним спросом (dd) и внутренним НДС является сильной.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9"/>
        <w:gridCol w:w="2599"/>
        <w:gridCol w:w="3159"/>
      </w:tblGrid>
      <w:tr>
        <w:tc>
          <w:tcPr>
            <w:tcW w:type="dxa" w:w="44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25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31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НДС</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vat_d</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спрос</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DD</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переводы</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Tr_pf</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Авторегрессионная модель представляется оптимальным решением. Результаты оценки выглядят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94,47%. Это означает, что вариации vat_d_f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В данном случае недоступен; решается методом авторегрессии.</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всех вышеуказанных тестов доказывают, что модель внутреннего НДС является сильной со статистической точки зрения, хотя тест на гетероскедастичности чуть ниже требуемого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внутреннего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НДС внешний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Внешний НДС состоит из НДС, взимаемого с импорта:</w:t>
      </w:r>
    </w:p>
    <w:p>
      <w:pPr>
        <w:spacing w:after="120"/>
        <w:ind w:firstLine="708"/>
        <w:jc w:val="both"/>
      </w:pPr>
      <w:r>
        <w:rPr>
          <w:rFonts w:ascii="Arial" w:cs="Arial" w:eastAsia="Arial" w:hAnsi="Arial"/>
          <w:sz w:val="24"/>
          <w:szCs w:val="24"/>
        </w:rPr>
        <w:t xml:space="preserve">- из третьих стран;</w:t>
      </w:r>
    </w:p>
    <w:p>
      <w:pPr>
        <w:spacing w:after="120"/>
        <w:ind w:firstLine="708"/>
        <w:jc w:val="both"/>
      </w:pPr>
      <w:r>
        <w:rPr>
          <w:rFonts w:ascii="Arial" w:cs="Arial" w:eastAsia="Arial" w:hAnsi="Arial"/>
          <w:sz w:val="24"/>
          <w:szCs w:val="24"/>
        </w:rPr>
        <w:t xml:space="preserve">- из ЕАЭС.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VAT</w:t>
      </w:r>
      <w:r>
        <w:rPr>
          <w:rFonts w:ascii="Arial" w:cs="Arial" w:eastAsia="Arial" w:hAnsi="Arial"/>
          <w:sz w:val="24"/>
          <w:szCs w:val="24"/>
        </w:rPr>
        <w:t xml:space="preserve">_</w:t>
      </w:r>
      <w:r>
        <w:rPr>
          <w:rFonts w:ascii="Arial" w:cs="Arial" w:eastAsia="Arial" w:hAnsi="Arial"/>
          <w:sz w:val="24"/>
          <w:szCs w:val="24"/>
        </w:rPr>
        <w:t xml:space="preserve">e</w:t>
      </w:r>
      <w:r>
        <w:rPr>
          <w:rFonts w:ascii="Arial" w:cs="Arial" w:eastAsia="Arial" w:hAnsi="Arial"/>
          <w:sz w:val="24"/>
          <w:szCs w:val="24"/>
        </w:rPr>
        <w:t xml:space="preserve"> = </w:t>
      </w:r>
      <w:r>
        <w:rPr>
          <w:rFonts w:ascii="Arial" w:cs="Arial" w:eastAsia="Arial" w:hAnsi="Arial"/>
          <w:sz w:val="24"/>
          <w:szCs w:val="24"/>
        </w:rPr>
        <w:t xml:space="preserve">f</w:t>
      </w:r>
      <w:r>
        <w:rPr>
          <w:rFonts w:ascii="Arial" w:cs="Arial" w:eastAsia="Arial" w:hAnsi="Arial"/>
          <w:sz w:val="24"/>
          <w:szCs w:val="24"/>
        </w:rPr>
        <w:t xml:space="preserve"> (</w:t>
      </w:r>
      <w:r>
        <w:rPr>
          <w:rFonts w:ascii="Arial" w:cs="Arial" w:eastAsia="Arial" w:hAnsi="Arial"/>
          <w:sz w:val="24"/>
          <w:szCs w:val="24"/>
        </w:rPr>
        <w:t xml:space="preserve">im</w:t>
      </w:r>
      <w:r>
        <w:rPr>
          <w:rFonts w:ascii="Arial" w:cs="Arial" w:eastAsia="Arial" w:hAnsi="Arial"/>
          <w:sz w:val="24"/>
          <w:szCs w:val="24"/>
        </w:rPr>
        <w:t xml:space="preserve">_3</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vat</w:t>
      </w:r>
      <w:r>
        <w:rPr>
          <w:rFonts w:ascii="Arial" w:cs="Arial" w:eastAsia="Arial" w:hAnsi="Arial"/>
          <w:sz w:val="24"/>
          <w:szCs w:val="24"/>
        </w:rPr>
        <w:t xml:space="preserve">_</w:t>
      </w:r>
      <w:r>
        <w:rPr>
          <w:rFonts w:ascii="Arial" w:cs="Arial" w:eastAsia="Arial" w:hAnsi="Arial"/>
          <w:sz w:val="24"/>
          <w:szCs w:val="24"/>
        </w:rPr>
        <w:t xml:space="preserve">e</w:t>
      </w:r>
      <w:r>
        <w:rPr>
          <w:rFonts w:ascii="Arial" w:cs="Arial" w:eastAsia="Arial" w:hAnsi="Arial"/>
          <w:sz w:val="24"/>
          <w:szCs w:val="24"/>
        </w:rPr>
        <w:t xml:space="preserve">_</w:t>
      </w:r>
      <w:r>
        <w:rPr>
          <w:rFonts w:ascii="Arial" w:cs="Arial" w:eastAsia="Arial" w:hAnsi="Arial"/>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real deflator GDP</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Анализ парных тестов Грейнджера демонстрирует причинно-следственную связь между уровнем цен и внешней добавленной стоимостью. Соответствующая вероятность составляет 2,15% (менее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Причинно-следственная связь между импортом и внешним НДС только однонаправленная, но очень сильная. Это означает, что увеличение собираемости внешнего НДС всегда было связано с увеличением 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4"/>
        <w:gridCol w:w="2015"/>
        <w:gridCol w:w="3149"/>
      </w:tblGrid>
      <w:tr>
        <w:tc>
          <w:tcPr>
            <w:tcW w:type="dxa" w:w="50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3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НДС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vat_е</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разнице</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ЗС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Im_3С</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разнице</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внешнего НДС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Vat_e_r</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разнице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качестве решения принята модель VAR. См. оценку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68,63%. Это означает, что вариации vat_e_f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Не представлен результат оценки, решаемый системой.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уравнение внешнего НДС является сильным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внешнего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оценочное уравнение, можно получить прогноз внешнего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НДС, взимаемый с импорта из ЕАЭС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момента создания в 2015 году Евразийского экономического союза число наблюдений, доступных для моделирования, было ограничено 6. Поэтому для оценки и прогнозирования использовался метод OLS. Соответствующее уравнение находится в рабочем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показан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Таможенная пошлина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t_im = f (im_adj, t_m, pgdp_2010)</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Ниже представлена теория, лежащая в основе этой функциональной взаимосвязи.</w:t>
      </w:r>
    </w:p>
    <w:p>
      <w:pPr>
        <w:spacing w:after="120"/>
        <w:ind w:firstLine="708"/>
        <w:jc w:val="both"/>
      </w:pPr>
      <w:r>
        <w:rPr>
          <w:rFonts w:ascii="Arial" w:cs="Arial" w:eastAsia="Arial" w:hAnsi="Arial"/>
          <w:sz w:val="24"/>
          <w:szCs w:val="24"/>
        </w:rPr>
        <w:t xml:space="preserve">Ожидается, что увеличение импорта приведет к повышению таможенных пошлин. Учитывая преобладающую систему налогообложения, экономическим агентам придется платить более высокие таможенные пошлины по мере увеличения импорта.</w:t>
      </w:r>
    </w:p>
    <w:p>
      <w:pPr>
        <w:spacing w:after="120"/>
        <w:ind w:firstLine="708"/>
        <w:jc w:val="both"/>
      </w:pPr>
      <w:r>
        <w:rPr>
          <w:rFonts w:ascii="Arial" w:cs="Arial" w:eastAsia="Arial" w:hAnsi="Arial"/>
          <w:sz w:val="24"/>
          <w:szCs w:val="24"/>
        </w:rPr>
        <w:t xml:space="preserve">Аналогичным образом таможенные пошлины будут повышаться по мере повышения эффективной таможенной ставки. Предполагаемая положительная связь между совокупными поступлениями и инфляцией может быть объяснена тем, что каждый год личные расходы домашних хозяйств на импорт будут увеличиваться, отражая изменение их доходов, и последующие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Изучая данные, можно обнаружить сильную причинно-следственную связь между скорректированным импортом и таможенными пошлинами.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Связь между ценами (pgdp_2010) и импортными пошлинами не была подтверждена. Поэтому она была пропущена для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0"/>
        <w:gridCol w:w="1517"/>
        <w:gridCol w:w="3542"/>
      </w:tblGrid>
      <w:tr>
        <w:tc>
          <w:tcPr>
            <w:tcW w:type="dxa" w:w="5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w:t>
            </w:r>
          </w:p>
        </w:tc>
        <w:tc>
          <w:tcPr>
            <w:tcW w:type="dxa" w:w="35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 в</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пошлина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T_im</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скорректированный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Im_adj</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ставка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Т_m</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руководство по определению правильного метода оценки, была выбрана </w:t>
      </w:r>
      <w:r>
        <w:rPr>
          <w:rFonts w:ascii="Arial" w:cs="Arial" w:eastAsia="Arial" w:hAnsi="Arial"/>
          <w:b/>
          <w:bCs/>
          <w:sz w:val="24"/>
          <w:szCs w:val="24"/>
        </w:rPr>
        <w:t xml:space="preserve">авторегрессионная модель.</w:t>
      </w:r>
      <w:r>
        <w:rPr>
          <w:rFonts w:ascii="Arial" w:cs="Arial" w:eastAsia="Arial" w:hAnsi="Arial"/>
          <w:sz w:val="24"/>
          <w:szCs w:val="24"/>
        </w:rPr>
        <w:t xml:space="preserve"> Результаты оценки приведены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95,58%. Это означает, что вариации t_im_f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EViews решает эту проблему без демонстрации результатов, что означает, что она должна быть решена системой.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уравнение пошлин на импорт является сильным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3.3. 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приведенной выше диаграмме показана тесная взаимосвязь между неналоговыми доходами и скорректированной валовой операционной прибылью. Эта взаимосвязь была также подтверждена тестом причинности Грейнджера. Но ВВП как независимая переменная выглядит лучше.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Тестирование на наличие единичного корня</w:t>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04"/>
        <w:gridCol w:w="1234"/>
        <w:gridCol w:w="2441"/>
      </w:tblGrid>
      <w:tr>
        <w:tc>
          <w:tcPr>
            <w:tcW w:type="dxa" w:w="65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w:t>
            </w:r>
          </w:p>
        </w:tc>
        <w:tc>
          <w:tcPr>
            <w:tcW w:type="dxa" w:w="2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 в</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Неналоговый доход</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Non_t</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Скорректированная валовая операционная прибыль</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Gos_adj</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Поскольку оба временных ряда являются стационарными во второй разности, в качестве метода оценки нельзя использовать коинтеграцию. VAR является рекомендуемым методом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93,1%. Это означает, что вариации переменной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возникает проблема гетероскедастичности;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двух приведенных выше тестов доказывают, что модель неналоговых доходов сильна со статистической точки зрения. Единственная проблема остается с гетероскедастичностью. Несмотря на этот факт, учитывая соответствие всем остальным критериям, уравнение может быть принято. Проблема гетероскедастичности при моделировании неналоговых доходов часто повторяется в зависимости от типа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неналоговых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Копирование оценочных уравнений в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Все расчетные уравнения находятся в рабочем файле. Следующим шагом будет их копирование в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Возьмем в качестве примера таможенные пошлины. Нажмите на</w:t>
      </w:r>
      <w:r>
        <w:rPr>
          <w:rFonts w:ascii="Arial" w:cs="Arial" w:eastAsia="Arial" w:hAnsi="Arial"/>
          <w:sz w:val="24"/>
          <w:szCs w:val="24"/>
        </w:rPr>
        <w:t xml:space="preserve"> t_im_eq, </w:t>
      </w:r>
      <w:r>
        <w:rPr>
          <w:rFonts w:ascii="Arial" w:cs="Arial" w:eastAsia="Arial" w:hAnsi="Arial"/>
          <w:sz w:val="24"/>
          <w:szCs w:val="24"/>
        </w:rPr>
        <w:t xml:space="preserve">затем</w:t>
      </w:r>
      <w:r>
        <w:rPr>
          <w:rFonts w:ascii="Arial" w:cs="Arial" w:eastAsia="Arial" w:hAnsi="Arial"/>
          <w:sz w:val="24"/>
          <w:szCs w:val="24"/>
        </w:rPr>
        <w:t xml:space="preserve"> View/Representations.</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модель kg_revenue_model, нажмите "Text". Панели ниже показывают расчетное уравнение для таможенных пошлин (слева) и модель доходов (справа).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Последним шагом является копирование уравнения в модель. В этом контексте важно отметить, что уравнение t_im_f является только эконометрически оценочным уравнением, а не прогнозом общих таможенных пошлин.</w:t>
      </w:r>
    </w:p>
    <w:p>
      <w:pPr>
        <w:spacing w:after="120"/>
        <w:ind w:firstLine="708"/>
        <w:jc w:val="both"/>
      </w:pPr>
      <w:r>
        <w:rPr>
          <w:rFonts w:ascii="Arial" w:cs="Arial" w:eastAsia="Arial" w:hAnsi="Arial"/>
          <w:sz w:val="24"/>
          <w:szCs w:val="24"/>
        </w:rPr>
        <w:t xml:space="preserve">Суммарный прогноз таможенных пошлин определяется уравнением:</w:t>
      </w:r>
    </w:p>
    <w:p>
      <w:pPr>
        <w:spacing w:after="120"/>
        <w:jc w:val="both"/>
      </w:pPr>
      <w:r>
        <w:rPr>
          <w:rFonts w:ascii="Arial" w:cs="Arial" w:eastAsia="Arial" w:hAnsi="Arial"/>
          <w:sz w:val="24"/>
          <w:szCs w:val="24"/>
        </w:rPr>
        <w:t xml:space="preserve">T_im = t_im_f + t_im_add,</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t_im_add - дополнительные факторы, включенные в общий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Использование дополнительных (Add) факторов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Причина использования дополнительных коэффициентов состоит в том, чтобы устранить проблему с большими остатками. Вводя дополнительные факторы, остаток будет установлен равным нулю в течение периода прогноза при решении модели. Одним из способов решения этой проблемы было бы изменение спецификации уравнения. Простейшей модификацией было бы добавление в уравнение авторегрессионного компонента, что помогло бы уменьшить постоянство ошибки. Лучшей альтернативой было бы попытаться изменить переменные в уравнении.</w:t>
      </w:r>
    </w:p>
    <w:p>
      <w:pPr>
        <w:spacing w:after="120"/>
        <w:ind w:firstLine="708"/>
        <w:jc w:val="both"/>
      </w:pPr>
      <w:r>
        <w:rPr>
          <w:rFonts w:ascii="Arial" w:cs="Arial" w:eastAsia="Arial" w:hAnsi="Arial"/>
          <w:sz w:val="24"/>
          <w:szCs w:val="24"/>
        </w:rPr>
        <w:t xml:space="preserve">Альтернативный подход к проблеме состоит в том, чтобы оставить уравнение как есть, но включить в модель дополнительный (Add) фактор, чтобы мы могли смоделировать путь остатка вручную.</w:t>
      </w:r>
    </w:p>
    <w:p>
      <w:pPr>
        <w:spacing w:after="120"/>
        <w:ind w:firstLine="708"/>
        <w:jc w:val="both"/>
      </w:pPr>
      <w:r>
        <w:rPr>
          <w:rFonts w:ascii="Arial" w:cs="Arial" w:eastAsia="Arial" w:hAnsi="Arial"/>
          <w:sz w:val="24"/>
          <w:szCs w:val="24"/>
        </w:rPr>
        <w:t xml:space="preserve">Еще одной причиной для включения дополнительного фактора являются ожидания, обусловленные политикой, в период прогнозирования. Естественно, такое ожидание не может найти поддержки в исторических данных, поэтому они дополняются отдельными временными рядами.</w:t>
      </w:r>
    </w:p>
    <w:p>
      <w:pPr>
        <w:spacing w:after="120"/>
        <w:ind w:firstLine="708"/>
        <w:jc w:val="both"/>
      </w:pPr>
      <w:r>
        <w:rPr>
          <w:rFonts w:ascii="Arial" w:cs="Arial" w:eastAsia="Arial" w:hAnsi="Arial"/>
          <w:sz w:val="24"/>
          <w:szCs w:val="24"/>
        </w:rPr>
        <w:t xml:space="preserve">Модель доходов позволяет использовать дополнительный коэффициент в каждом оценочном уравнении, как показывает kg_revenue_model.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 прогнозирования доходов состоит из основной модели доходов </w:t>
      </w:r>
      <w:r>
        <w:rPr>
          <w:rFonts w:ascii="Arial" w:cs="Arial" w:eastAsia="Arial" w:hAnsi="Arial"/>
          <w:b/>
          <w:bCs/>
          <w:sz w:val="24"/>
          <w:szCs w:val="24"/>
        </w:rPr>
        <w:t xml:space="preserve">(kg_revenue_model)</w:t>
      </w:r>
      <w:r>
        <w:rPr>
          <w:rFonts w:ascii="Arial" w:cs="Arial" w:eastAsia="Arial" w:hAnsi="Arial"/>
          <w:sz w:val="24"/>
          <w:szCs w:val="24"/>
        </w:rPr>
        <w:t xml:space="preserve"> и связанной модели для экзогенных переменных </w:t>
      </w:r>
      <w:r>
        <w:rPr>
          <w:rFonts w:ascii="Arial" w:cs="Arial" w:eastAsia="Arial" w:hAnsi="Arial"/>
          <w:b/>
          <w:bCs/>
          <w:sz w:val="24"/>
          <w:szCs w:val="24"/>
        </w:rPr>
        <w:t xml:space="preserve">(kg_revenue_exgenous).</w:t>
      </w:r>
      <w:r>
        <w:rPr>
          <w:rFonts w:ascii="Arial" w:cs="Arial" w:eastAsia="Arial" w:hAnsi="Arial"/>
          <w:sz w:val="24"/>
          <w:szCs w:val="24"/>
        </w:rPr>
        <w:t xml:space="preserve"> В рабочем файле обозначены синим цветом: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Убедитесь, что вы на странице C-Revenue.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решить модель, откройте обе модели и просто щелкните "Solve" на панели окна модели (примите все свойства модели, как заданные).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Щелкните "ОК". Результат визуализируется при условии, что при выполнении вычислений не было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Изучение результатов решения в примере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Прогнозирование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только мы будем удовлетворены эффективностью нашей модели относительно исторических данных, мы можем использовать модель для прогнозирования будущих значений наших эндогенных переменных.</w:t>
      </w:r>
    </w:p>
    <w:p>
      <w:pPr>
        <w:spacing w:after="120"/>
        <w:ind w:firstLine="708"/>
        <w:jc w:val="both"/>
      </w:pPr>
      <w:r>
        <w:rPr>
          <w:rFonts w:ascii="Arial" w:cs="Arial" w:eastAsia="Arial" w:hAnsi="Arial"/>
          <w:sz w:val="24"/>
          <w:szCs w:val="24"/>
        </w:rPr>
        <w:t xml:space="preserve">Первым шагом в создании такого прогноза является определение значений для наших экзогенных переменных в течение прогнозируемого периода. Они могут быть основаны на наших предположениях о том, что произойдет на самом деле, или они могут быть просто одной конкретной возможностью, которую мы заинтересованы рассмотреть. Часто мы будем заинтересованы в построении нескольких различных линий, а затем сравнении результатов.</w:t>
      </w:r>
    </w:p>
    <w:p>
      <w:pPr>
        <w:spacing w:after="120"/>
        <w:ind w:firstLine="708"/>
        <w:jc w:val="both"/>
      </w:pPr>
      <w:r>
        <w:rPr>
          <w:rFonts w:ascii="Arial" w:cs="Arial" w:eastAsia="Arial" w:hAnsi="Arial"/>
          <w:sz w:val="24"/>
          <w:szCs w:val="24"/>
        </w:rPr>
        <w:t xml:space="preserve">Список экзогенных переменных можно найти с помощью следующих инструкций:</w:t>
      </w:r>
    </w:p>
    <w:p>
      <w:pPr>
        <w:spacing w:after="120"/>
        <w:ind w:firstLine="708"/>
        <w:jc w:val="both"/>
      </w:pPr>
      <w:r>
        <w:rPr>
          <w:rFonts w:ascii="Arial" w:cs="Arial" w:eastAsia="Arial" w:hAnsi="Arial"/>
          <w:sz w:val="24"/>
          <w:szCs w:val="24"/>
        </w:rPr>
        <w:t xml:space="preserve">- откройте основную модель;</w:t>
      </w:r>
    </w:p>
    <w:p>
      <w:pPr>
        <w:spacing w:after="120"/>
        <w:ind w:firstLine="708"/>
        <w:jc w:val="both"/>
      </w:pPr>
      <w:r>
        <w:rPr>
          <w:rFonts w:ascii="Arial" w:cs="Arial" w:eastAsia="Arial" w:hAnsi="Arial"/>
          <w:sz w:val="24"/>
          <w:szCs w:val="24"/>
        </w:rPr>
        <w:t xml:space="preserve">- щелкните на переменные - панель покажет вам список всех переменных, используемых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этом контексте следует отметить, что каждая эндогенная переменная (58, как видно на панели выше) моделируется с помощью уравнений. Полный список уравнений доступен, если щелкнуть "Equations" в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Модельные сценарии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рекомендации по построению сценариев включены в Руководство пользователя по моделированию расходов.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Модельные сценарии позволяют конечным пользователям изучать, как модель ведет себя при альтернативных прогнозах экзогенных переменных и добавлять факторы.</w:t>
      </w:r>
    </w:p>
    <w:p>
      <w:pPr>
        <w:spacing w:after="120"/>
        <w:ind w:firstLine="708"/>
        <w:jc w:val="both"/>
      </w:pPr>
      <w:r>
        <w:rPr>
          <w:rFonts w:ascii="Arial" w:cs="Arial" w:eastAsia="Arial" w:hAnsi="Arial"/>
          <w:sz w:val="24"/>
          <w:szCs w:val="24"/>
        </w:rPr>
        <w:t xml:space="preserve">В сценарии путь экзогенной переменной можно изменить, переопределив переменную. Когда переменная переопределена, значения этой переменной будут получены из серии рабочих файлов, специфичных для данного сценария. Название серии формируется путем добавления к имени переменной суффикса, связанного со сценарием. Этот же суффикс также используется при хранении решений модели для сценария. С помощью сценариев легко сравнивать результаты, предсказанные моделью при различных предположениях, без необходимости редактировать структуру вашей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Псевдоним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эндогенная переменная в модели может называться "Y", но когда EViews решает модель, она может присвоить результат наблюдению за серией в рабочем файле с именем "Y_0". Мы называем это сопоставление имен псевдонимом.</w:t>
      </w:r>
    </w:p>
    <w:p>
      <w:pPr>
        <w:spacing w:after="120"/>
        <w:ind w:firstLine="708"/>
        <w:jc w:val="both"/>
      </w:pPr>
      <w:r>
        <w:rPr>
          <w:rFonts w:ascii="Arial" w:cs="Arial" w:eastAsia="Arial" w:hAnsi="Arial"/>
          <w:sz w:val="24"/>
          <w:szCs w:val="24"/>
        </w:rPr>
        <w:t xml:space="preserve">Псевдонимы часто применяются к экзогенным переменным при использовании модельных сценариев. В следующей таблице приведен типичный пример того, как псевдонимы моделей могут отображать имена переменных в модели в имена рядов в рабочем файле: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6"/>
        <w:gridCol w:w="546"/>
        <w:gridCol w:w="747"/>
        <w:gridCol w:w="5819"/>
      </w:tblGrid>
      <w:tr>
        <w:tc>
          <w:tcPr>
            <w:tcW w:type="dxa" w:w="306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Модельная переменная </w:t>
            </w:r>
          </w:p>
        </w:tc>
        <w:tc>
          <w:tcPr>
            <w:tcW w:type="dxa" w:w="546"/>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7"/>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19"/>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Серия рабочих файлов</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Эндогенная Y</w:t>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Исторические данные</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Y_0</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Базовый сценарий</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Y_1</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Сценарий_1</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Экзогенная X</w:t>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X</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Исторические данные, за которыми следуют:</w:t>
            </w:r>
          </w:p>
          <w:p>
            <w:pPr>
              <w:jc w:val="left"/>
            </w:pPr>
            <w:r>
              <w:rPr>
                <w:rFonts w:ascii="Arial" w:cs="Arial" w:eastAsia="Arial" w:hAnsi="Arial"/>
                <w:sz w:val="24"/>
                <w:szCs w:val="24"/>
              </w:rPr>
              <w:t xml:space="preserve">Базовый прогноз</w:t>
            </w:r>
          </w:p>
        </w:tc>
      </w:tr>
      <w:tr>
        <w:tc>
          <w:tcPr>
            <w:tcW w:type="dxa" w:w="306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Х_1</w:t>
            </w:r>
          </w:p>
        </w:tc>
        <w:tc>
          <w:tcPr>
            <w:tcW w:type="dxa" w:w="5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Переопределенный прогноз для Сценария 1</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Открыв рабочий файл, вы можете найти 4 варианта псевдонимов. Возьмем в качестве примера налог на прибыль (CIT):</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Cit_0 - Базовый сценарий - прогноз, полученный с использованием экзогенных переменных в качестве исторических данных;</w:t>
      </w:r>
    </w:p>
    <w:p>
      <w:pPr>
        <w:spacing w:after="120"/>
        <w:ind w:firstLine="708"/>
        <w:jc w:val="both"/>
      </w:pPr>
      <w:r>
        <w:rPr>
          <w:rFonts w:ascii="Arial" w:cs="Arial" w:eastAsia="Arial" w:hAnsi="Arial"/>
          <w:sz w:val="24"/>
          <w:szCs w:val="24"/>
        </w:rPr>
        <w:t xml:space="preserve">- Cit_1 - Сценарий 1 - прогноз, полученный с использованием переопределенного прогноза экзогенных переменных, специфичных для данного сценария;</w:t>
      </w:r>
    </w:p>
    <w:p>
      <w:pPr>
        <w:spacing w:after="120"/>
        <w:ind w:firstLine="708"/>
        <w:jc w:val="both"/>
      </w:pPr>
      <w:r>
        <w:rPr>
          <w:rFonts w:ascii="Arial" w:cs="Arial" w:eastAsia="Arial" w:hAnsi="Arial"/>
          <w:sz w:val="24"/>
          <w:szCs w:val="24"/>
        </w:rPr>
        <w:t xml:space="preserve">- Cit_2 - Сценарий 2 - прогноз, полученный с использованием переопределенного прогноза экзогенных переменных, специфичных для данного сценария;</w:t>
      </w:r>
    </w:p>
    <w:p>
      <w:pPr>
        <w:spacing w:after="120"/>
        <w:ind w:firstLine="708"/>
        <w:jc w:val="both"/>
      </w:pPr>
      <w:r>
        <w:rPr>
          <w:rFonts w:ascii="Arial" w:cs="Arial" w:eastAsia="Arial" w:hAnsi="Arial"/>
          <w:sz w:val="24"/>
          <w:szCs w:val="24"/>
        </w:rPr>
        <w:t xml:space="preserve">- Cit_3 - Сценарий 3 - прогноз, полученный с использованием переопределенного прогноза экзогенных переменных, специфичных для данного сценария.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Откройте модель и щелкните "scenario":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Выберите исследуемый сценарий. Затем щелкните "ОК".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Прогноз каждого вида налогов основан на прогнозе экзогенных переменных, в основном определяемых макроэкономическими прогнозами. Как пояснялось выше, результаты, полученные с помощью модели, обозначаются нулем (т.е. cit_0) для каждой эндогенной переменной. В заключение следует отметить, что CIT_0 представляет собой базовый сценарий прогноза налога на прибыль, полученный с помощью прогнозов соответствующих макроэкономических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 - результаты моделирования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 хранятся в группе данных с именем kg_model_baseline_grp.: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Это окончательная структура результатов модели, автоматически создаваемых EViews. Для любых отчетно-аналитических целей эту таблицу можно скопировать в Excel.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Построение сценариев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Сценарии 1-3 ниже иллюстрируют возможности их использования. Соответствующий прогноз по каждому сценарию возникает в результате изменения траектории экзогенных переменных. Это изменение всегда измеряется относительно базового уровня. Именно по этой причине он получил название "базовый".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Сценарий 1 - Влияние увеличения внутреннего спроса и дефлятора реального ВВП на внутренний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Предположим, что увеличение внутреннего спроса и дефлятора реального ВВП выше в сценарии 1, чем в базовом сценарии. В столбце С показаны базовые значения, а в столбце В - увеличение в сценарии 1. Разность показана в столбце D в абсолютном выражении и в процентном изменении (столбец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Влияние увеличения внутреннего спроса и дефлятора реального ВВП на увеличение внутреннего сбора НДС показано в таблице ниже. Опять же, vat_d_0 - это базовый прогноз, a vat_d_1 - это сценарий 1, полученный с учетом роста макроэкономических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Сценарий 2 - Влияние увеличения импорта на внешний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приведенных ниже таблицах показано увеличение импорта из третьих стран и ЕАЭС относительно базового сценария. Это увеличение было вызвано снижением обменного курса (ежегодно - 4%) и реального роста ВВП (ежегодно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1, в таблицах показано соответствующее влияние на внешний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Сценарий 3 - влияние изменений в налоговых ставках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(CIT rate) - уменьшение эффективной налоговой ставки на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Столбец В - это прогнозируемый сбор CIT в соответствии со Сценарием 3. Столбец С - это базовый сценарий. Ожидаемое влияние на налог на прибыль, будет следующее: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моделирования.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Экспорт результатов моделирования из EViews в Excel</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моделирования - это сценарии модели, описанные в предыдущей главе (сохранены как группа в рабочем файле EViews). Базовый сценарий можно найти в виде группы временных рядов под названием: kg_model_baseline.</w:t>
      </w:r>
    </w:p>
    <w:p>
      <w:pPr>
        <w:spacing w:after="120"/>
        <w:jc w:val="both"/>
      </w:pPr>
      <w:r>
        <w:rPr>
          <w:rFonts w:ascii="Arial" w:cs="Arial" w:eastAsia="Arial" w:hAnsi="Arial"/>
          <w:sz w:val="24"/>
          <w:szCs w:val="24"/>
        </w:rPr>
        <w:t xml:space="preserve">Результаты моделирования могут быть легко экспортированы или скопированы из EViews в файл Excel (прилагается к настоящему документу).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Руководство пользователя по моделированию и прогнозированию</w:t>
      </w:r>
    </w:p>
    <w:p>
      <w:pPr>
        <w:spacing w:after="120"/>
        <w:jc w:val="center"/>
      </w:pPr>
      <w:r>
        <w:rPr>
          <w:rFonts w:ascii="Arial" w:cs="Arial" w:eastAsia="Arial" w:hAnsi="Arial"/>
          <w:b/>
          <w:bCs/>
          <w:sz w:val="24"/>
          <w:szCs w:val="24"/>
        </w:rPr>
        <w:t xml:space="preserve">государственных доходов (Местный уровень)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0mcd3dzaux7mslfapuv-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21 августа 2023 года № 417)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характеристики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Настоящее Руководство пользователя было разработано как дополнительная информация к "Руководству пользователя по моделированию и прогнозированию государственных доходов на центральном уровне". При написании этого документа внимание было уделено описанию различий между моделированием доходов на обоих уровнях. Во избежание повторения одного и того же текста больше, чем это необходимо, читателю рекомендуется использовать разработанную методику для центрального уровня для получения более подробной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Налоговая структура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нижеприведенной таблице представлена структура местных налогов, смоделированная по модели доходов.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3"/>
        <w:gridCol w:w="2718"/>
        <w:gridCol w:w="2597"/>
      </w:tblGrid>
      <w:tr>
        <w:tc>
          <w:tcPr>
            <w:tcW w:type="dxa" w:w="48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налога</w:t>
            </w:r>
          </w:p>
        </w:tc>
        <w:tc>
          <w:tcPr>
            <w:tcW w:type="dxa" w:w="27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25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 в EViews</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налоговые режимы</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Str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Имущество - объекты недвижимого имущества</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Prop_re</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Имущество - транспортные средства</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Prop_trans</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приусадебные участки</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Land_p</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земли сельхоз. назначения</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Land_agr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земли несельскохоз. назначения</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Land-nagr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Roy</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Non_t</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Неналоговые поступления не моделируются на местном уровне, а принимаются в качестве экзогенной переменной.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Данные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Группа временных рядов ниже иллюстрирует налоговую структуру по данным, использованным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Данные о собираемых местных налогах получены из Министерства финансов, а пояснительные переменные из макро (экономических) прогнозов.</w:t>
      </w:r>
    </w:p>
    <w:p>
      <w:pPr>
        <w:spacing w:after="120"/>
        <w:ind w:firstLine="708"/>
        <w:jc w:val="both"/>
      </w:pPr>
      <w:r>
        <w:rPr>
          <w:rFonts w:ascii="Arial" w:cs="Arial" w:eastAsia="Arial" w:hAnsi="Arial"/>
          <w:sz w:val="24"/>
          <w:szCs w:val="24"/>
        </w:rPr>
        <w:t xml:space="preserve">При прогнозировании доходов на местном уровне макроэкономические прогнозы рассматриваются как экзогенные переменные и перечислены в подмодели kg_model_lc_exog. Для получения дополнительной информации нажмите на эту модель, затем на переменные, чтобы отобразить полный список экзогенных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экзогенные переменные отмечены желтым цветом. Приведенная выше подмодель открыта в базовом сценарии; этот сценарий используется основной моделью: kg_revenue_lc_model для получения результатов модели. Экзогенные переменные также создают основу для построения сценариев модели(1).</w:t>
      </w:r>
    </w:p>
    <w:p>
      <w:pPr>
        <w:spacing w:after="120"/>
        <w:jc w:val="both"/>
      </w:pPr>
      <w:r>
        <w:rPr>
          <w:rFonts w:ascii="Arial" w:cs="Arial" w:eastAsia="Arial" w:hAnsi="Arial"/>
          <w:i/>
          <w:iCs/>
          <w:sz w:val="24"/>
          <w:szCs w:val="24"/>
        </w:rPr>
        <w:t xml:space="preserve">Для построения модели были использованы за период с 2000-2021 годы с годовой периодичностью. Если не указано иное, используются реальные данные. Вычисления проводились с использованием эконометрической программы EViews. С документацией по необходимым процедурам и их практическом осуществлении можно ознакомиться в учебных материалах, прилагаемых к данному Руководству 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Проблема нестационарности исторических данных была объяснена в методологии прогнозирования доходов на центральном уровне. К сожалению, эта проблема повторяется и на местном уровне, поэтому приведены некоторые замечания.</w:t>
      </w:r>
    </w:p>
    <w:p>
      <w:pPr>
        <w:spacing w:after="120"/>
        <w:ind w:firstLine="708"/>
        <w:jc w:val="both"/>
      </w:pPr>
      <w:r>
        <w:rPr>
          <w:rFonts w:ascii="Arial" w:cs="Arial" w:eastAsia="Arial" w:hAnsi="Arial"/>
          <w:sz w:val="24"/>
          <w:szCs w:val="24"/>
        </w:rPr>
        <w:t xml:space="preserve">Краткое резюме: регрессия нестационарных временных рядов на другие нестационарные временные ряды может привести к ложной или бессмысленной регрессии. Ложная модель нежелательна. Эта проблема была решена с учетом следующих условий:</w:t>
      </w:r>
    </w:p>
    <w:p>
      <w:pPr>
        <w:spacing w:after="120"/>
        <w:ind w:firstLine="708"/>
        <w:jc w:val="both"/>
      </w:pPr>
      <w:r>
        <w:rPr>
          <w:rFonts w:ascii="Arial" w:cs="Arial" w:eastAsia="Arial" w:hAnsi="Arial"/>
          <w:sz w:val="24"/>
          <w:szCs w:val="24"/>
        </w:rPr>
        <w:t xml:space="preserve">- если ряды являются стационарными по первой разности, то соответствующей методологией моделирования является коинтеграция с механизмом исправления ошибок;</w:t>
      </w:r>
    </w:p>
    <w:p>
      <w:pPr>
        <w:spacing w:after="120"/>
        <w:ind w:firstLine="708"/>
        <w:jc w:val="both"/>
      </w:pPr>
      <w:r>
        <w:rPr>
          <w:rFonts w:ascii="Arial" w:cs="Arial" w:eastAsia="Arial" w:hAnsi="Arial"/>
          <w:sz w:val="24"/>
          <w:szCs w:val="24"/>
        </w:rPr>
        <w:t xml:space="preserve">- если она является стационарной по тренду, то переменная тренда должна быть введена в правую часть уравнения регрессии для обеспечения стационарных свойств;</w:t>
      </w:r>
    </w:p>
    <w:p>
      <w:pPr>
        <w:spacing w:after="120"/>
        <w:ind w:firstLine="708"/>
        <w:jc w:val="both"/>
      </w:pPr>
      <w:r>
        <w:rPr>
          <w:rFonts w:ascii="Arial" w:cs="Arial" w:eastAsia="Arial" w:hAnsi="Arial"/>
          <w:sz w:val="24"/>
          <w:szCs w:val="24"/>
        </w:rPr>
        <w:t xml:space="preserve">- если ряды являются стационарными по тренду со структурными разрывами, тогда наряду с трендом соответствующие ложные модели структурных разрывов должны войти в уравнение регрессии для обеспечения стационарных свойств. В таких случаях будет уместна традиционная методология спецификации и оценки.</w:t>
      </w:r>
    </w:p>
    <w:p>
      <w:pPr>
        <w:spacing w:after="120"/>
        <w:ind w:firstLine="708"/>
        <w:jc w:val="both"/>
      </w:pPr>
      <w:r>
        <w:rPr>
          <w:rFonts w:ascii="Arial" w:cs="Arial" w:eastAsia="Arial" w:hAnsi="Arial"/>
          <w:sz w:val="24"/>
          <w:szCs w:val="24"/>
        </w:rPr>
        <w:t xml:space="preserve">Для выявления проблемы нестационарности используется тестирование на наличие единичного корня.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Рекомендуется использовать стандартный расширенный тест Дики-Фуллера (ADF). Вероятными результатами тестирования являются:</w:t>
      </w:r>
    </w:p>
    <w:p>
      <w:pPr>
        <w:spacing w:after="120"/>
        <w:ind w:firstLine="708"/>
        <w:jc w:val="both"/>
      </w:pPr>
      <w:r>
        <w:rPr>
          <w:rFonts w:ascii="Arial" w:cs="Arial" w:eastAsia="Arial" w:hAnsi="Arial"/>
          <w:sz w:val="24"/>
          <w:szCs w:val="24"/>
        </w:rPr>
        <w:t xml:space="preserve">1) ряды интегрируются нулевого порядка, т.е. стационарны по уровню (без разности);</w:t>
      </w:r>
    </w:p>
    <w:p>
      <w:pPr>
        <w:spacing w:after="120"/>
        <w:ind w:firstLine="708"/>
        <w:jc w:val="both"/>
      </w:pPr>
      <w:r>
        <w:rPr>
          <w:rFonts w:ascii="Arial" w:cs="Arial" w:eastAsia="Arial" w:hAnsi="Arial"/>
          <w:sz w:val="24"/>
          <w:szCs w:val="24"/>
        </w:rPr>
        <w:t xml:space="preserve">2) ряды интегрируются первого порядка, т.е. есть стационарны после первой разности;</w:t>
      </w:r>
    </w:p>
    <w:p>
      <w:pPr>
        <w:spacing w:after="120"/>
        <w:ind w:firstLine="708"/>
        <w:jc w:val="both"/>
      </w:pPr>
      <w:r>
        <w:rPr>
          <w:rFonts w:ascii="Arial" w:cs="Arial" w:eastAsia="Arial" w:hAnsi="Arial"/>
          <w:sz w:val="24"/>
          <w:szCs w:val="24"/>
        </w:rPr>
        <w:t xml:space="preserve">3) ряды интегрируются разных порядков, т.е. имеют комбинацию рядов I (0) и I (1).</w:t>
      </w:r>
    </w:p>
    <w:p>
      <w:pPr>
        <w:spacing w:after="120"/>
        <w:ind w:firstLine="708"/>
        <w:jc w:val="both"/>
      </w:pPr>
      <w:r>
        <w:rPr>
          <w:rFonts w:ascii="Arial" w:cs="Arial" w:eastAsia="Arial" w:hAnsi="Arial"/>
          <w:sz w:val="24"/>
          <w:szCs w:val="24"/>
        </w:rPr>
        <w:t xml:space="preserve">Временной ряд может быть стационарным в разных порядках, например, сочетание уровня и стационарности при первой или второй разнице. Эта комбинация определяет метод оценки.</w:t>
      </w:r>
    </w:p>
    <w:p>
      <w:pPr>
        <w:spacing w:after="120"/>
        <w:ind w:firstLine="708"/>
        <w:jc w:val="both"/>
      </w:pPr>
      <w:r>
        <w:rPr>
          <w:rFonts w:ascii="Arial" w:cs="Arial" w:eastAsia="Arial" w:hAnsi="Arial"/>
          <w:sz w:val="24"/>
          <w:szCs w:val="24"/>
        </w:rPr>
        <w:t xml:space="preserve">Если все переменные интегрированы по первой разности, необходимо провести тест на коинтеграцию (предварительное условие для установления долгосрочных связей). Существует два варианта: (i) использование коинтеграционного теста Йохансена или (ii) Bounds tests (метод пограничных значений) - предложенный Пезараном, Шином и Смитом (2001).</w:t>
      </w:r>
    </w:p>
    <w:p>
      <w:pPr>
        <w:spacing w:after="120"/>
        <w:jc w:val="both"/>
      </w:pPr>
      <w:r>
        <w:rPr>
          <w:rFonts w:ascii="Arial" w:cs="Arial" w:eastAsia="Arial" w:hAnsi="Arial"/>
          <w:sz w:val="24"/>
          <w:szCs w:val="24"/>
        </w:rPr>
        <w:t xml:space="preserve">На приведенной ниже Схеме 1 показаны возможные 5 результатов тестирования на единичный корень (синим цветом). Затем коричневым цветом предлагаются методы оценки, которые следует применять в зависимости от результатов тестирования на единичный корень.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1. Выбор методов оценки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результат тестирования единичного корня: "Все переменные стационарны на уровне" (первый синий прямоугольник во втором ряду). Этот результат позволяет нам использовать простую регрессию (OLS) для получения долгосрочных взаимосвязей.</w:t>
      </w:r>
    </w:p>
    <w:p>
      <w:pPr>
        <w:spacing w:after="120"/>
        <w:ind w:firstLine="708"/>
        <w:jc w:val="both"/>
      </w:pPr>
      <w:r>
        <w:rPr>
          <w:rFonts w:ascii="Arial" w:cs="Arial" w:eastAsia="Arial" w:hAnsi="Arial"/>
          <w:sz w:val="24"/>
          <w:szCs w:val="24"/>
        </w:rPr>
        <w:t xml:space="preserve">Второй результат заключается в том, что переменные стационарны на уровне или в первой разности. Их можно интегрировать на уровне I (0) или в первой разности I (1). При условии, что мы получим этот результат, рекомендуется использовать модель авторегрессии с распределенным лагом (ARDL).</w:t>
      </w:r>
    </w:p>
    <w:p>
      <w:pPr>
        <w:spacing w:after="120"/>
        <w:ind w:firstLine="708"/>
        <w:jc w:val="both"/>
      </w:pPr>
      <w:r>
        <w:rPr>
          <w:rFonts w:ascii="Arial" w:cs="Arial" w:eastAsia="Arial" w:hAnsi="Arial"/>
          <w:sz w:val="24"/>
          <w:szCs w:val="24"/>
        </w:rPr>
        <w:t xml:space="preserve">Третий вариант заключается в том, что все переменные стационарны в первой разности. В этом случае временной ряд следует протестировать на коинтеграцию. Если тест отрицательный, предлагается запустить неограниченную модель векторной авторегрессии (VAR). С другой стороны, если коинтеграция доказана тестированием, модель коррекции ошибок является решением. Число эндогенных переменных будет определять окончательное решение. Если имеется только одна эндогенная переменная, следует использовать модель коррекции ошибок (ЕСМ). Однако, если эндогенных переменных больше, векторная модель коррекции ошибок (VECM) является одним их возможных вариантов.</w:t>
      </w:r>
    </w:p>
    <w:p>
      <w:pPr>
        <w:spacing w:after="120"/>
        <w:ind w:firstLine="708"/>
        <w:jc w:val="both"/>
      </w:pPr>
      <w:r>
        <w:rPr>
          <w:rFonts w:ascii="Arial" w:cs="Arial" w:eastAsia="Arial" w:hAnsi="Arial"/>
          <w:sz w:val="24"/>
          <w:szCs w:val="24"/>
        </w:rPr>
        <w:t xml:space="preserve">Четвертая возможность состоит в том, что временные ряды стационарны либо в первой, либо во второй разности. Авторегрессионные модели являются предлагаемым решением.</w:t>
      </w:r>
    </w:p>
    <w:p>
      <w:pPr>
        <w:spacing w:after="120"/>
        <w:ind w:firstLine="708"/>
        <w:jc w:val="both"/>
      </w:pPr>
      <w:r>
        <w:rPr>
          <w:rFonts w:ascii="Arial" w:cs="Arial" w:eastAsia="Arial" w:hAnsi="Arial"/>
          <w:sz w:val="24"/>
          <w:szCs w:val="24"/>
        </w:rPr>
        <w:t xml:space="preserve">Последний вариант не был идентифицирован тестированием единичного корня.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Модельные уравнения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разделе 1.1. была представлена налоговая структура модели. Под моделированием понимается процесс разработки уравнения для каждого вида налога, который включает следующие этапы:</w:t>
      </w:r>
    </w:p>
    <w:p>
      <w:pPr>
        <w:spacing w:after="120"/>
        <w:ind w:firstLine="708"/>
        <w:jc w:val="both"/>
      </w:pPr>
      <w:r>
        <w:rPr>
          <w:rFonts w:ascii="Arial" w:cs="Arial" w:eastAsia="Arial" w:hAnsi="Arial"/>
          <w:sz w:val="24"/>
          <w:szCs w:val="24"/>
        </w:rPr>
        <w:t xml:space="preserve">- определить функциональную форму;</w:t>
      </w:r>
    </w:p>
    <w:p>
      <w:pPr>
        <w:spacing w:after="120"/>
        <w:ind w:firstLine="708"/>
        <w:jc w:val="both"/>
      </w:pPr>
      <w:r>
        <w:rPr>
          <w:rFonts w:ascii="Arial" w:cs="Arial" w:eastAsia="Arial" w:hAnsi="Arial"/>
          <w:sz w:val="24"/>
          <w:szCs w:val="24"/>
        </w:rPr>
        <w:t xml:space="preserve">- изучить данные;</w:t>
      </w:r>
    </w:p>
    <w:p>
      <w:pPr>
        <w:spacing w:after="120"/>
        <w:ind w:firstLine="708"/>
        <w:jc w:val="both"/>
      </w:pPr>
      <w:r>
        <w:rPr>
          <w:rFonts w:ascii="Arial" w:cs="Arial" w:eastAsia="Arial" w:hAnsi="Arial"/>
          <w:sz w:val="24"/>
          <w:szCs w:val="24"/>
        </w:rPr>
        <w:t xml:space="preserve">- провести тестирование на наличие единичного корня;</w:t>
      </w:r>
    </w:p>
    <w:p>
      <w:pPr>
        <w:spacing w:after="120"/>
        <w:ind w:firstLine="708"/>
        <w:jc w:val="both"/>
      </w:pPr>
      <w:r>
        <w:rPr>
          <w:rFonts w:ascii="Arial" w:cs="Arial" w:eastAsia="Arial" w:hAnsi="Arial"/>
          <w:sz w:val="24"/>
          <w:szCs w:val="24"/>
        </w:rPr>
        <w:t xml:space="preserve">- выбрать метод оценки;</w:t>
      </w:r>
    </w:p>
    <w:p>
      <w:pPr>
        <w:spacing w:after="120"/>
        <w:ind w:firstLine="708"/>
        <w:jc w:val="both"/>
      </w:pPr>
      <w:r>
        <w:rPr>
          <w:rFonts w:ascii="Arial" w:cs="Arial" w:eastAsia="Arial" w:hAnsi="Arial"/>
          <w:sz w:val="24"/>
          <w:szCs w:val="24"/>
        </w:rPr>
        <w:t xml:space="preserve">- интерпретировать результат оценки;</w:t>
      </w:r>
    </w:p>
    <w:p>
      <w:pPr>
        <w:spacing w:after="120"/>
        <w:ind w:firstLine="708"/>
        <w:jc w:val="both"/>
      </w:pPr>
      <w:r>
        <w:rPr>
          <w:rFonts w:ascii="Arial" w:cs="Arial" w:eastAsia="Arial" w:hAnsi="Arial"/>
          <w:sz w:val="24"/>
          <w:szCs w:val="24"/>
        </w:rPr>
        <w:t xml:space="preserve">- провести остаточную диагностику;</w:t>
      </w:r>
    </w:p>
    <w:p>
      <w:pPr>
        <w:spacing w:after="120"/>
        <w:ind w:firstLine="708"/>
        <w:jc w:val="both"/>
      </w:pPr>
      <w:r>
        <w:rPr>
          <w:rFonts w:ascii="Arial" w:cs="Arial" w:eastAsia="Arial" w:hAnsi="Arial"/>
          <w:sz w:val="24"/>
          <w:szCs w:val="24"/>
        </w:rPr>
        <w:t xml:space="preserve">- провести тестирование стабильности;</w:t>
      </w:r>
    </w:p>
    <w:p>
      <w:pPr>
        <w:spacing w:after="120"/>
        <w:ind w:firstLine="708"/>
        <w:jc w:val="both"/>
      </w:pPr>
      <w:r>
        <w:rPr>
          <w:rFonts w:ascii="Arial" w:cs="Arial" w:eastAsia="Arial" w:hAnsi="Arial"/>
          <w:sz w:val="24"/>
          <w:szCs w:val="24"/>
        </w:rPr>
        <w:t xml:space="preserve">- составить налоговый прогноз.</w:t>
      </w:r>
    </w:p>
    <w:p>
      <w:pPr>
        <w:spacing w:after="120"/>
        <w:ind w:firstLine="708"/>
        <w:jc w:val="both"/>
      </w:pPr>
      <w:r>
        <w:rPr>
          <w:rFonts w:ascii="Arial" w:cs="Arial" w:eastAsia="Arial" w:hAnsi="Arial"/>
          <w:sz w:val="24"/>
          <w:szCs w:val="24"/>
        </w:rPr>
        <w:t xml:space="preserve">При моделировании и прогнозировании налогов на местном уровне можно следовать приведенным выше шагам. С документацией по необходимым процедурам и их практическом осуществлении можно ознакомиться в учебных материалах, прилагаемом к данному Руководству пользователя.</w:t>
      </w:r>
    </w:p>
    <w:p>
      <w:pPr>
        <w:spacing w:after="120"/>
        <w:ind w:firstLine="708"/>
        <w:jc w:val="both"/>
      </w:pPr>
      <w:r>
        <w:rPr>
          <w:rFonts w:ascii="Arial" w:cs="Arial" w:eastAsia="Arial" w:hAnsi="Arial"/>
          <w:sz w:val="24"/>
          <w:szCs w:val="24"/>
        </w:rPr>
        <w:t xml:space="preserve">Следующие разделы описывают процесс оценки уравнений модели более подробно. Незначительные проблемы неправильной спецификации в отдельных уравнениях допускались, если соответствующая спецификация существенно влияла в общий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Подоходный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выводится из общепринятой теории и/или из личного опыта разработчика модели, участвующего в составлении прогнозов доходов. Рекомендуется записывать эту связь как функцию зависимой переменной (вид налога - подоходный налог - PIT) и объясняющих переменных, которые должны объяснять получение PIT в прошлом.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PIT = f (p_wages, g_wages, pit_r,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Следующим шагом является доказательство того, что теория работает, а это означает, что она может найти поддержку в исторических данных.</w:t>
      </w:r>
    </w:p>
    <w:p>
      <w:pPr>
        <w:spacing w:after="120"/>
        <w:ind w:firstLine="708"/>
        <w:jc w:val="both"/>
      </w:pPr>
      <w:r>
        <w:rPr>
          <w:rFonts w:ascii="Arial" w:cs="Arial" w:eastAsia="Arial" w:hAnsi="Arial"/>
          <w:sz w:val="24"/>
          <w:szCs w:val="24"/>
        </w:rPr>
        <w:t xml:space="preserve">Попарный тест на причинность по Грейнджеру является полезным инструментом для изучения данных в этом смысле. Во-первых, проверялась взаимосвязь между подоходным налогом и заработной платой.</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рекомендации по интерпретации этого теста: если соответствующая вероятность (prob. - последний столбец) меньше 5%, мы можем отвергнуть нулевой гипотезы (Н0) и принять альтернативную (Н1). Нулевая гипотеза записана в результате теста, то есть причинно-следственная связь отсутствует.</w:t>
            </w:r>
          </w:p>
        </w:tc>
      </w:tr>
    </w:tbl>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мала для p_wages и g_wages (менее 5%), поэтому мы можем отвергнуть нулевую гипотезу, показанную в тесте, и принять Н1, который подтверждает сильную двунаправленную причинно-следственную связь между подоходным налогом и p_wages и g_wages.</w:t>
      </w:r>
    </w:p>
    <w:p>
      <w:pPr>
        <w:spacing w:after="120"/>
        <w:ind w:firstLine="708"/>
        <w:jc w:val="both"/>
      </w:pPr>
      <w:r>
        <w:rPr>
          <w:rFonts w:ascii="Arial" w:cs="Arial" w:eastAsia="Arial" w:hAnsi="Arial"/>
          <w:sz w:val="24"/>
          <w:szCs w:val="24"/>
        </w:rPr>
        <w:t xml:space="preserve">Во-вторых, было исследовано влияние инфляции. Инфляция или общий рост уровня цен представлена тремя переменными: pgdp (дефлятор ВВП), cpi (индекс потребительских цен) и pgdp_2010 (дефлятор реального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видно, pgdp и pgdp_2010 нельзя использовать в качестве объясняющих переменных (соответствующая вероятность более 5%). С другой стороны, индекс потребительских цен может влиять на PIT (менее 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налога на прибыль (pit_r)</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рассчитывалась как эффективная налоговая ставка по формуле (см. pit_r в рабочем файле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Для обнаружения (не)стационарности использовался расширенный тест Дики-Фуллера (ADF). В таблице ниже представлены результаты тестирования.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2"/>
        <w:gridCol w:w="1948"/>
        <w:gridCol w:w="2308"/>
      </w:tblGrid>
      <w:tr>
        <w:tc>
          <w:tcPr>
            <w:tcW w:type="dxa" w:w="59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2-ой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 в частном секторе</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p_wages</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2-ой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 в государственном секторе</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p_wages</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Эффективная ставка подоходного налога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PIT_R</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CPI</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Учитывая схему 1 (стр. 6), результаты тестирования ADF создают основу для использования авторегрессионной модели в качестве оптимального решения. Руководство по построению и запуску моделей авторегрессии было объяснено в рамках реализованной программы обучения.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Совет: не продолжайте работу до ознакомления с учебными документами.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Ниже приведен результат оценки модели авторегрессии: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99,38%. Это означает, что изменения PIT почти полностью объясняются независимыми переменными. Это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Ни одна из независимых переменных не является значимой.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Эти критерии не имеет смысла использовать в авторегрессионных моделях, они совместно зависимы по определению.</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Если знак положительный, это означает, что если p_wages увеличится на 1 единицу, PIT вырастет на 0,01 единицы. При условии, что другие независимые переменные остаются постоянными. Если знак отрицательный, если pit_r увеличится на 1 единицу, PIT уменьшится, при условии, что остальные независимые переменные фиксированы.</w:t>
      </w:r>
    </w:p>
    <w:p>
      <w:pPr>
        <w:spacing w:after="120"/>
        <w:ind w:firstLine="708"/>
        <w:jc w:val="both"/>
      </w:pPr>
      <w:r>
        <w:rPr>
          <w:rFonts w:ascii="Arial" w:cs="Arial" w:eastAsia="Arial" w:hAnsi="Arial"/>
          <w:b/>
          <w:bCs/>
          <w:sz w:val="24"/>
          <w:szCs w:val="24"/>
        </w:rPr>
        <w:t xml:space="preserve">5. Остаточная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рекомендации по использованию тестирования серийной корреляции можно найти в руководстве пользователя, предназначенном для центрального уровня, в разделе 3.1.1 (стр. 12).</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оценочное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заключение следует отметить, что результаты трех вышеприведенных тестов не вызывают никаких проблем с точки зрения статистики. Тогда уравнение PIT может быть принято.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Стабильность оцениваемого уравнения была подтверждена с помощью теста CUSUM, поскольку линия уравнения (синяя) находится в интервале значимости, заданном двумя красными линиями, как показано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в EViews по созданию теста CUSUM</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уравнение</w:t>
      </w:r>
      <w:r>
        <w:rPr>
          <w:rFonts w:ascii="Arial" w:cs="Arial" w:eastAsia="Arial" w:hAnsi="Arial"/>
          <w:sz w:val="24"/>
          <w:szCs w:val="24"/>
        </w:rPr>
        <w:t xml:space="preserve">, </w:t>
      </w:r>
      <w:r>
        <w:rPr>
          <w:rFonts w:ascii="Arial" w:cs="Arial" w:eastAsia="Arial" w:hAnsi="Arial"/>
          <w:sz w:val="24"/>
          <w:szCs w:val="24"/>
        </w:rPr>
        <w:t xml:space="preserve">затем</w:t>
      </w:r>
      <w:r>
        <w:rPr>
          <w:rFonts w:ascii="Arial" w:cs="Arial" w:eastAsia="Arial" w:hAnsi="Arial"/>
          <w:sz w:val="24"/>
          <w:szCs w:val="24"/>
        </w:rPr>
        <w:t xml:space="preserve"> 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на прибыль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итоге, прогноз налога на прибыль был произведен эконометрически. Для получения дополнительной информации откройте временной ряд pit_f.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процесс моделирования был описан в этом разделе. Следующие виды налогов не описываются столь подробно, ограничиваясь основными результатами. Если требуется дополнительная информация, читателю рекомендуется использовать раздел 3.1 или методологию на центральном уровне или учебные материалы, распространяемые в Министерстве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Земельный налог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Поступления по земельному налогу состоят из:</w:t>
      </w:r>
    </w:p>
    <w:p>
      <w:pPr>
        <w:spacing w:after="120"/>
        <w:ind w:firstLine="708"/>
        <w:jc w:val="both"/>
      </w:pPr>
      <w:r>
        <w:rPr>
          <w:rFonts w:ascii="Arial" w:cs="Arial" w:eastAsia="Arial" w:hAnsi="Arial"/>
          <w:sz w:val="24"/>
          <w:szCs w:val="24"/>
        </w:rPr>
        <w:t xml:space="preserve">- земельный налог на приусадебные участки;</w:t>
      </w:r>
    </w:p>
    <w:p>
      <w:pPr>
        <w:spacing w:after="120"/>
        <w:ind w:firstLine="708"/>
        <w:jc w:val="both"/>
      </w:pPr>
      <w:r>
        <w:rPr>
          <w:rFonts w:ascii="Arial" w:cs="Arial" w:eastAsia="Arial" w:hAnsi="Arial"/>
          <w:sz w:val="24"/>
          <w:szCs w:val="24"/>
        </w:rPr>
        <w:t xml:space="preserve">- земельный налог на земли сельскохозяйственного назначения;</w:t>
      </w:r>
    </w:p>
    <w:p>
      <w:pPr>
        <w:spacing w:after="120"/>
        <w:ind w:firstLine="708"/>
        <w:jc w:val="both"/>
      </w:pPr>
      <w:r>
        <w:rPr>
          <w:rFonts w:ascii="Arial" w:cs="Arial" w:eastAsia="Arial" w:hAnsi="Arial"/>
          <w:sz w:val="24"/>
          <w:szCs w:val="24"/>
        </w:rPr>
        <w:t xml:space="preserve">-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Земельный налог - приусадебные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Land_p = f (agriculture, dummy variable)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Анализ и оценка данных являются первым шагом в построении модели.</w:t>
      </w:r>
    </w:p>
    <w:p>
      <w:pPr>
        <w:spacing w:after="120"/>
        <w:ind w:firstLine="708"/>
        <w:jc w:val="both"/>
      </w:pPr>
      <w:r>
        <w:rPr>
          <w:rFonts w:ascii="Arial" w:cs="Arial" w:eastAsia="Arial" w:hAnsi="Arial"/>
          <w:sz w:val="24"/>
          <w:szCs w:val="24"/>
        </w:rPr>
        <w:t xml:space="preserve">В рамках парного теста Грейнджера анализируется причинно-следственная связь между земельным налогом (приусадебные участки) и объемом производства в сельскохозяйственном секторе со следующим результатом: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низка (2,99%), что подтверждает однонаправленную причинно-следственную связь. Можно констатировать, что ожидаемый рост сельскохозяйственного производства будет сопровождаться ростом сбора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Прежде чем выбрать метод оценки, необходимо проверить временные ряды на наличие единичного корня или стационарность. Для этого применяется стандартный расширенный тест Дики-Фуллера (ADF). Если тестирование доказывает, что данные являются стационарными, можно использовать OLS. Однако, если тест показывает проблему нестационарности временного ряда, рекомендуется использовать методы оценки, показанные на стр. 4.</w:t>
      </w:r>
    </w:p>
    <w:p>
      <w:pPr>
        <w:spacing w:after="120"/>
        <w:ind w:firstLine="708"/>
        <w:jc w:val="both"/>
      </w:pPr>
      <w:r>
        <w:rPr>
          <w:rFonts w:ascii="Arial" w:cs="Arial" w:eastAsia="Arial" w:hAnsi="Arial"/>
          <w:sz w:val="24"/>
          <w:szCs w:val="24"/>
        </w:rPr>
        <w:t xml:space="preserve">Зависимая переменная land_p нестационарна на уровне, но стационарна на первой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должна быть также протестирована объясняющая переменная agr. Этот временной ряд сильно нестационарен на уровне и первой разности, стационарен на второй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должна быть также протестирована объясняющая переменная agr. Этот временной ряд сильно нестационарен на уровне и первой разности, стационарен на второй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сделать вывод, что переменная agr является нестационарной на уровне, но стационарной во второй разности (соответствующая вероятность составляет мене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16"/>
        <w:gridCol w:w="1997"/>
        <w:gridCol w:w="2365"/>
      </w:tblGrid>
      <w:tr>
        <w:tc>
          <w:tcPr>
            <w:tcW w:type="dxa" w:w="58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1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Сокращение</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5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приусадебные участки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Land_p</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5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Agr</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Поскольку land tax_p (земельный налог на приусадебные участки) является стационарным в 1 разности, а сельское хозяйство (agr) стационарным во второй разности, была применена </w:t>
      </w:r>
      <w:r>
        <w:rPr>
          <w:rFonts w:ascii="Arial" w:cs="Arial" w:eastAsia="Arial" w:hAnsi="Arial"/>
          <w:b/>
          <w:bCs/>
          <w:sz w:val="24"/>
          <w:szCs w:val="24"/>
        </w:rPr>
        <w:t xml:space="preserve">vector autoregression model.</w:t>
      </w:r>
      <w:r>
        <w:rPr>
          <w:rFonts w:ascii="Arial" w:cs="Arial" w:eastAsia="Arial" w:hAnsi="Arial"/>
          <w:sz w:val="24"/>
          <w:szCs w:val="24"/>
        </w:rPr>
        <w:t xml:space="preserve">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95,938%. Это означает, что вариации land_p_f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Одна независимая переменная не имеет значения.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с соответствующей вероятностью равна 0, то все объясняющие переменные могут совместно влиять на зависимую переменную. Это причина, по которой модель может быть принята, несмотря на низкую Т-статистику.</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оценочное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имеют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доказали, что модель land_p может соответствовать 2 критериям из 3. Остатки не являются нормально распределенными, но, несмотря на это уравнение принимается.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land_p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Земельный налог на земли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Теория оценки основана на предположении, что налог на земли сельскохозяйственного назначения зависит от развития сельскохозяйственного сектора и общего уровня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Land_agr = f (agriculture, price level)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анализирует причинно-следственные связи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четко показывает причинно-следственную связь между земельным налогом и сельскохозяйственным производством в первом результате (вторая строка). Во-вторых, причинно-следственная связь была выявлена между ценами (pgdp_2010) и сельским хозяйством. Третья строка подтвердила причинно-следственную связь между ценами и земельным налогом.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0"/>
        <w:gridCol w:w="1700"/>
        <w:gridCol w:w="2068"/>
      </w:tblGrid>
      <w:tr>
        <w:tc>
          <w:tcPr>
            <w:tcW w:type="dxa" w:w="64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17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20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земли сельхоз. назначения</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Land_agr</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Agr</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Учитывая результаты тестирования ADF, </w:t>
      </w:r>
      <w:r>
        <w:rPr>
          <w:rFonts w:ascii="Arial" w:cs="Arial" w:eastAsia="Arial" w:hAnsi="Arial"/>
          <w:b/>
          <w:bCs/>
          <w:sz w:val="24"/>
          <w:szCs w:val="24"/>
        </w:rPr>
        <w:t xml:space="preserve">vector autoregression model</w:t>
      </w:r>
      <w:r>
        <w:rPr>
          <w:rFonts w:ascii="Arial" w:cs="Arial" w:eastAsia="Arial" w:hAnsi="Arial"/>
          <w:sz w:val="24"/>
          <w:szCs w:val="24"/>
        </w:rPr>
        <w:t xml:space="preserve"> представляется лучшим решением.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93,84%. Это означает, что колебания земельного налога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статистически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Данный тип не предоставляет F-статистику, что означает, что этот вопрос был решен автоматически с помощью системы уравнений.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соответствовать либо экономической теории, либо ожиданиям, либо интуиции. Если знак положительный, это означает, что если независимая переменная увеличится на 1 единицу, то налоговые поступления также вырастут. При условии, что другие независимые переменные остаются неизменными. Если знак отрицательный, значит, если независимая переменная увеличится на 1 единицу, налоговые поступления уменьшатся, при условии, что остальные независимые переменные остаются неизменными.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вышеуказанных тестов доказывают, что уравнение land_agr не имеет серийной корреляции (автокорреляции), гетероскедастичности или проблем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земельного налога на земли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3.2.3.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Земельный налог, уплачиваемый несельскохозяйственными секторами, должен быть функцией: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Land_agr = f (gdp_fc,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ind w:firstLine="708"/>
        <w:jc w:val="both"/>
      </w:pPr>
      <w:r>
        <w:rPr>
          <w:rFonts w:ascii="Arial" w:cs="Arial" w:eastAsia="Arial" w:hAnsi="Arial"/>
          <w:sz w:val="24"/>
          <w:szCs w:val="24"/>
        </w:rPr>
        <w:t xml:space="preserve">Тест Грейнджера выявил сильную однонаправленную причинно-следственную связь между налогом и ВВП по факторным затратам. Мы можем предположить, что любое увеличение налога повлияет на ВВП по факторным затратам.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Такую же аргументацию можно увидеть в однонаправленных зависимостях между ценами и земельным налогом, уплачиваемым несельскохозяйственными секторами.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1"/>
        <w:gridCol w:w="1567"/>
        <w:gridCol w:w="2029"/>
      </w:tblGrid>
      <w:tr>
        <w:tc>
          <w:tcPr>
            <w:tcW w:type="dxa" w:w="65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15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земли несельхоз. назначения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Land_nagr</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факторным издержкам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Gdp_fc</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ADF, моделирование с исправлением ошибок (ЕСМ) представляется возможным вариантом. Но перед использованием модели коррекции ошибок (ЕСМ) необходимо выполнить тест на коинтеграцию.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тестирования не могут подтвердить какое-либо коинтегрирующее уравнение. Поэтому была выбрана модель ARDL.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93,26%. Это означает, что колебания земельного налога в несельскохозяйственных секторах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 хотя Т-статистика низкая.</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land_nagr не имеет последовательной корреляции, гетероскедастичности или проблемы нормального распределения.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земельного налога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Налог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Недвижимое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Prop_re = f (construction, price level)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Парные тесты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Изучив данные, мы смогли найти причинно-следственную связь между налогом на строительство и налогом на недвижимость. Тест подтвердил причинно-следственную связь между налогом на недвижимость и строительным производством в первом результате. Затем проверяется связь недвижимости с уровнем цен, измеряемым дефлятором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была доказана причинно-следственная связь между изменением цен (pgdp) и налогом на недвижимость в первой строке.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8"/>
        <w:gridCol w:w="2290"/>
        <w:gridCol w:w="2711"/>
      </w:tblGrid>
      <w:tr>
        <w:tc>
          <w:tcPr>
            <w:tcW w:type="dxa" w:w="5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22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Сокращение</w:t>
            </w:r>
          </w:p>
        </w:tc>
        <w:tc>
          <w:tcPr>
            <w:tcW w:type="dxa" w:w="27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Ргор_re</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Constr</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gdp</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на наличие единичного корня, в качестве метода оценки выбран ARDL.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92,69%.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0,14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CIT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на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Налог на имущество - 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определяется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prop_trans = f (transport,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 с помощью теста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Однонаправленная причинность существует. Налог на имущество транспортных средств может повлиять на услуги транспортного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Грейнджера показывает, что изменения в уровне цен могут влиять на объем производства в транспортном секторе. И впоследствии развитие транспортного сектора отражалось на налогообложении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6"/>
        <w:gridCol w:w="1574"/>
        <w:gridCol w:w="2268"/>
      </w:tblGrid>
      <w:tr>
        <w:tc>
          <w:tcPr>
            <w:tcW w:type="dxa" w:w="6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EViews</w:t>
            </w:r>
          </w:p>
        </w:tc>
        <w:tc>
          <w:tcPr>
            <w:tcW w:type="dxa" w:w="2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Стационарный</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Имущественный налог на транспортные средства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Prop_trans</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Transport</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 результатам тестирования единичного корня выбрана модель </w:t>
      </w:r>
      <w:r>
        <w:rPr>
          <w:rFonts w:ascii="Arial" w:cs="Arial" w:eastAsia="Arial" w:hAnsi="Arial"/>
          <w:b/>
          <w:bCs/>
          <w:sz w:val="24"/>
          <w:szCs w:val="24"/>
        </w:rPr>
        <w:t xml:space="preserve">VAR</w:t>
      </w:r>
      <w:r>
        <w:rPr>
          <w:rFonts w:ascii="Arial" w:cs="Arial" w:eastAsia="Arial" w:hAnsi="Arial"/>
          <w:sz w:val="24"/>
          <w:szCs w:val="24"/>
        </w:rPr>
        <w:t xml:space="preserve">. Результаты проиллюстрированы в таблице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97,96%.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 даже если Т-статистика низкая.</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распределены нормально.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prop_trans не страдает от серийной корреляции и гетероскедастичности. Однако, ожидается проблема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Имущественный налог на транспортные средства -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функциональной форме предполагалось, что роялти зависит от развития горнодобывающего сектора и общего уровня цен.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Roy = f (mining, pgdp_2010)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Парный тест на причинно-следственную связь Грейнджера подтверждает однонаправленную связь, т.е. добыча полезных ископаемых вызывает изменения в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Изменения в уровне цен не оказывают влияния на налог на роялти. По крайней мере, протестированные цены не показали такой зависимости.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7"/>
        <w:gridCol w:w="2272"/>
        <w:gridCol w:w="3149"/>
      </w:tblGrid>
      <w:tr>
        <w:tc>
          <w:tcPr>
            <w:tcW w:type="dxa" w:w="47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EViews</w:t>
            </w:r>
          </w:p>
        </w:tc>
        <w:tc>
          <w:tcPr>
            <w:tcW w:type="dxa" w:w="3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гоу</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Пользование недрами</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mining</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Стационарный в первой разности. Полученные результаты позволяют провести моделирование коррекции ошибок. Коинтеграционный тест Йохансена подтвердил наличие 2 коинтеграционных уравнений на уровне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Поэтому в качестве метода оценки было выбрано моделирование коррекции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Интерпретировать результаты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62,64%.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0,99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распределены нормально.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модель Роялти не страдает последовательной корреляцией или гетероскедастичностью. Единственная проблема заключается в нормальном распределении остатков. Несмотря на это уравнение приемлемо.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Специальные налоговые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str = f (wholesale, hotres, prof)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Легенда: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0"/>
        <w:gridCol w:w="9048"/>
      </w:tblGrid>
      <w:tr>
        <w:tc>
          <w:tcPr>
            <w:tcW w:type="dxa" w:w="11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9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и ремонт</w:t>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Hotres</w:t>
            </w:r>
          </w:p>
        </w:tc>
        <w:tc>
          <w:tcPr>
            <w:tcW w:type="dxa" w:w="9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Prof</w:t>
            </w:r>
          </w:p>
        </w:tc>
        <w:tc>
          <w:tcPr>
            <w:tcW w:type="dxa" w:w="9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Причинно-следственная связь между тремя вышеуказанными секторами и специальным налоговым режимом носит смешанный характер, что позволяет нам использовать эти секторы для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4"/>
        <w:gridCol w:w="2272"/>
        <w:gridCol w:w="2692"/>
      </w:tblGrid>
      <w:tr>
        <w:tc>
          <w:tcPr>
            <w:tcW w:type="dxa" w:w="52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Специальный налоговый режим</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розничная торговля</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hotres</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деятельность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prof</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разнице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ADF, </w:t>
      </w:r>
      <w:r>
        <w:rPr>
          <w:rFonts w:ascii="Arial" w:cs="Arial" w:eastAsia="Arial" w:hAnsi="Arial"/>
          <w:b/>
          <w:bCs/>
          <w:sz w:val="24"/>
          <w:szCs w:val="24"/>
        </w:rPr>
        <w:t xml:space="preserve">авторегрессионные модели</w:t>
      </w:r>
      <w:r>
        <w:rPr>
          <w:rFonts w:ascii="Arial" w:cs="Arial" w:eastAsia="Arial" w:hAnsi="Arial"/>
          <w:sz w:val="24"/>
          <w:szCs w:val="24"/>
        </w:rPr>
        <w:t xml:space="preserve"> представляются оптимальным решением.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82,18%.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1,96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последовательно коррелированы;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уравнение str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STR, созданный моделью.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Копирование оценочных уравнений в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Теперь все оценочные уравнения должны быть помещены в рабочий файл. Следующим шагом будет их копирование в модель. Как это может быть выполнено.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Возьмем в качестве примера налог на недвижимость. Нажмите на</w:t>
      </w:r>
      <w:r>
        <w:rPr>
          <w:rFonts w:ascii="Arial" w:cs="Arial" w:eastAsia="Arial" w:hAnsi="Arial"/>
          <w:sz w:val="24"/>
          <w:szCs w:val="24"/>
        </w:rPr>
        <w:t xml:space="preserve"> prop_re_eq, </w:t>
      </w:r>
      <w:r>
        <w:rPr>
          <w:rFonts w:ascii="Arial" w:cs="Arial" w:eastAsia="Arial" w:hAnsi="Arial"/>
          <w:sz w:val="24"/>
          <w:szCs w:val="24"/>
        </w:rPr>
        <w:t xml:space="preserve">затем</w:t>
      </w:r>
      <w:r>
        <w:rPr>
          <w:rFonts w:ascii="Arial" w:cs="Arial" w:eastAsia="Arial" w:hAnsi="Arial"/>
          <w:sz w:val="24"/>
          <w:szCs w:val="24"/>
        </w:rPr>
        <w:t xml:space="preserve">, View/Representations.</w:t>
      </w:r>
    </w:p>
    <w:p>
      <w:pPr>
        <w:spacing w:after="120"/>
        <w:ind w:firstLine="708"/>
        <w:jc w:val="both"/>
      </w:pPr>
      <w:r>
        <w:rPr>
          <w:rFonts w:ascii="Arial" w:cs="Arial" w:eastAsia="Arial" w:hAnsi="Arial"/>
          <w:sz w:val="24"/>
          <w:szCs w:val="24"/>
        </w:rPr>
        <w:t xml:space="preserve">Параллельно открываем модель kg_revenue_lc_model, нажимаем "Text".</w:t>
      </w:r>
    </w:p>
    <w:p>
      <w:pPr>
        <w:spacing w:after="120"/>
        <w:ind w:firstLine="708"/>
        <w:jc w:val="both"/>
      </w:pPr>
      <w:r>
        <w:rPr>
          <w:rFonts w:ascii="Arial" w:cs="Arial" w:eastAsia="Arial" w:hAnsi="Arial"/>
          <w:sz w:val="24"/>
          <w:szCs w:val="24"/>
        </w:rPr>
        <w:t xml:space="preserve">Панели ниже показывают расчетное уравнение для таможенных пошлин (слева) и модель доходов (справа).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Последний шаг - скопировать prop_re_eq в модель. В этом контексте важно отметить, что переменная prop_re_f представляет собой только эконометрическую оценку, а не общий прогноз налога на недвижимость.</w:t>
      </w:r>
    </w:p>
    <w:p>
      <w:pPr>
        <w:spacing w:after="120"/>
        <w:ind w:firstLine="708"/>
        <w:jc w:val="both"/>
      </w:pPr>
      <w:r>
        <w:rPr>
          <w:rFonts w:ascii="Arial" w:cs="Arial" w:eastAsia="Arial" w:hAnsi="Arial"/>
          <w:sz w:val="24"/>
          <w:szCs w:val="24"/>
        </w:rPr>
        <w:t xml:space="preserve">Общий налог на недвижимость прогнозируется по уравнению </w:t>
      </w:r>
      <w:r>
        <w:rPr>
          <w:rFonts w:ascii="Arial" w:cs="Arial" w:eastAsia="Arial" w:hAnsi="Arial"/>
          <w:sz w:val="24"/>
          <w:szCs w:val="24"/>
        </w:rPr>
        <w:t xml:space="preserve">(</w:t>
      </w:r>
      <w:r>
        <w:rPr>
          <w:rFonts w:ascii="Arial" w:cs="Arial" w:eastAsia="Arial" w:hAnsi="Arial"/>
          <w:sz w:val="24"/>
          <w:szCs w:val="24"/>
        </w:rPr>
        <w:t xml:space="preserve">см</w:t>
      </w:r>
      <w:r>
        <w:rPr>
          <w:rFonts w:ascii="Arial" w:cs="Arial" w:eastAsia="Arial" w:hAnsi="Arial"/>
          <w:sz w:val="24"/>
          <w:szCs w:val="24"/>
        </w:rPr>
        <w:t xml:space="preserve">. </w:t>
      </w:r>
      <w:r>
        <w:rPr>
          <w:rFonts w:ascii="Arial" w:cs="Arial" w:eastAsia="Arial" w:hAnsi="Arial"/>
          <w:sz w:val="24"/>
          <w:szCs w:val="24"/>
        </w:rPr>
        <w:t xml:space="preserve">модель</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prop_re = prop_re_f + prop_re_add</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Роль дополнительных (add) факторов (prop_re_add) объясняется в Руководстве пользователя по моделированию доходов на центральном уровне.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 прогнозирования доходов состоит из основной модели доходов </w:t>
      </w:r>
      <w:r>
        <w:rPr>
          <w:rFonts w:ascii="Arial" w:cs="Arial" w:eastAsia="Arial" w:hAnsi="Arial"/>
          <w:b/>
          <w:bCs/>
          <w:sz w:val="24"/>
          <w:szCs w:val="24"/>
        </w:rPr>
        <w:t xml:space="preserve">(kg_lc_revenue_model)</w:t>
      </w:r>
      <w:r>
        <w:rPr>
          <w:rFonts w:ascii="Arial" w:cs="Arial" w:eastAsia="Arial" w:hAnsi="Arial"/>
          <w:sz w:val="24"/>
          <w:szCs w:val="24"/>
        </w:rPr>
        <w:t xml:space="preserve"> и модели, связанной с экзогенными переменными </w:t>
      </w:r>
      <w:r>
        <w:rPr>
          <w:rFonts w:ascii="Arial" w:cs="Arial" w:eastAsia="Arial" w:hAnsi="Arial"/>
          <w:b/>
          <w:bCs/>
          <w:sz w:val="24"/>
          <w:szCs w:val="24"/>
        </w:rPr>
        <w:t xml:space="preserve">(kg_lc_revenue_exgenous).</w:t>
      </w:r>
      <w:r>
        <w:rPr>
          <w:rFonts w:ascii="Arial" w:cs="Arial" w:eastAsia="Arial" w:hAnsi="Arial"/>
          <w:sz w:val="24"/>
          <w:szCs w:val="24"/>
        </w:rPr>
        <w:t xml:space="preserve"> В рабочем файле обозначены синим цветом.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убедитесь, что вы работаете на странице L_revenue.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решить обе модели, просто щелкните "Solve" на панели кнопок окна модели. Экзогенная модель доходов должна быть решена в первую очередь.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Щелкните "ОК". Результат визуализируется при условии, что при выполнении вычислений не было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Изучение результатов решения в примере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просмотреть графики, содержащие фактические и установленные значения для эндогенных переменных в нашей модели, мы выбираем четыре переменные (удерживая нажатой клавишу управления и щелкая имена переменных), затем используем Proc/Make Graph... для входа в диалоговое окно. (Имена четырех серий будут предварительно заполнены в разделе "Переменные модели". В качестве альтернативы мы могли бы просто выбрать Proc/Make Graph.., а затем задать в раскрывающемся списке "Переменные модели" значение "Эндогенные переменные").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Нажмите "ОК". И соответствующие графики будут доступны для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Прогнозирование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только мы будем удовлетворены работой нашей модели относительно данных за прошлые периоды, мы можем использовать модель для прогнозирования будущих значений наших эндогенных переменных.</w:t>
      </w:r>
    </w:p>
    <w:p>
      <w:pPr>
        <w:spacing w:after="120"/>
        <w:ind w:firstLine="708"/>
        <w:jc w:val="both"/>
      </w:pPr>
      <w:r>
        <w:rPr>
          <w:rFonts w:ascii="Arial" w:cs="Arial" w:eastAsia="Arial" w:hAnsi="Arial"/>
          <w:sz w:val="24"/>
          <w:szCs w:val="24"/>
        </w:rPr>
        <w:t xml:space="preserve">Первым шагом в создании такого прогноза является определение значений для наших экзогенных переменных в течение прогнозируемого периода. Они могут быть основаны на наших предположениях о том, что произойдет в действительности, или они могут быть просто одной конкретной возможностью, которую мы заинтересованы рассмотреть. Часто мы будем заинтересованы в построении нескольких различных путей, а затем сравнении результатов.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Сценарии моделей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Ознакомьтесь также с методологией прогнозирования доходов на центральном уровне.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Сценарии моделей позволяют изучить поведение модели при альтернативных допущениях в отношении экзогенных переменных. В нашем случае были разработаны базовый и три альтернативных сценария.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Базовый сценарий (обозначен нулем), т.е. прогноз местных налогов был выполнен с использованием данных за прошлые периоды, полученных из FP. Сценарии 1, 2 и 3 (например, обозначенные как lnad_1, land_2 и land_3) являются альтернативными сценариями, в которых значения эндогенных переменных присваиваются рядам рабочих файлов с расширением, специфичным для данного сценария, что упрощает хранение нескольких решений для модели в одном рабочем файле.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основную модель и щелкните на сценарии: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Прогноз налоговой структуры основан на прогнозе экзогенных переменных, главным образом определяемых структурой финансового программирования. Результаты модели обозначаются нулем после каждой эндогенной переменной. Например, гоу_0 - это базовый прогноз подоходного налога, полученный на основе заданных прогнозов экзогенных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1 - влияние роста объемов производства в строительном секторе на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Допустим, что в сценарии 1 рост объема производства в строительном секторе будет выше прогнозируемого в базовом сценарии. Рост строительного производства оказал влияние на рост ВВП (по факторным затратам) на 2%. В столбце С представлены базовые значения, а столбце В - увеличение в сценарии 1. Разность показана в столбце D в абсолютном выражении и в процентном изменении (столбец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Влияние роста ВВП (по факторным издержкам) оказало влияние на увеличение сбора земельного налога (в частности, в несельскохозяйственном секторе, строительстве), как показано в таблице ниже. И в этом случае land_nagr_0 представляет собой базовый прогноз, a land_nagr_1 - сценарий 1, на который повлияли более высокие темпы роста ВВП. Ожидается, что соответствующая дельта окажет влияние на земельный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2 - влияние роста объемов производства в горнодобывающем секторе на роялти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 нижеприведенных таблиц видно, что рост объемов производства в горнодобывающем секторе превышает показатели, прогнозируемые в базовом сценарии.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1, в таблицах показано соответствующее влияние на прогнозируемый сбор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3 - влияние роста объемов в выбранном секторе экономики на специальные налоговые режимы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Предположим, рост в вышеуказанных секторах оценивается следующим образом:</w:t>
      </w:r>
    </w:p>
    <w:p>
      <w:pPr>
        <w:spacing w:after="120"/>
        <w:ind w:firstLine="708"/>
        <w:jc w:val="both"/>
      </w:pPr>
      <w:r>
        <w:rPr>
          <w:rFonts w:ascii="Arial" w:cs="Arial" w:eastAsia="Arial" w:hAnsi="Arial"/>
          <w:sz w:val="24"/>
          <w:szCs w:val="24"/>
        </w:rPr>
        <w:t xml:space="preserve">- оптовая, розничная торговля и ремонт - 3%;</w:t>
      </w:r>
    </w:p>
    <w:p>
      <w:pPr>
        <w:spacing w:after="120"/>
        <w:ind w:firstLine="708"/>
        <w:jc w:val="both"/>
      </w:pPr>
      <w:r>
        <w:rPr>
          <w:rFonts w:ascii="Arial" w:cs="Arial" w:eastAsia="Arial" w:hAnsi="Arial"/>
          <w:sz w:val="24"/>
          <w:szCs w:val="24"/>
        </w:rPr>
        <w:t xml:space="preserve">- гостиницы и рестораны - 3%;</w:t>
      </w:r>
    </w:p>
    <w:p>
      <w:pPr>
        <w:spacing w:after="120"/>
        <w:ind w:firstLine="708"/>
        <w:jc w:val="both"/>
      </w:pPr>
      <w:r>
        <w:rPr>
          <w:rFonts w:ascii="Arial" w:cs="Arial" w:eastAsia="Arial" w:hAnsi="Arial"/>
          <w:sz w:val="24"/>
          <w:szCs w:val="24"/>
        </w:rPr>
        <w:t xml:space="preserve">- профессиональная, научная и техническая деятельность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2, в таблицах показано соответствующее влияние на сбор в рамках STR.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Результаты моделирования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Экспорт результатов моделирования из EViews в Excel</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моделирования хранятся в виде группы временных рядов в рабочем файле EViews. Например, базовый сценарий можно найти в виде группы временных рядов под названием: kg_lb_baseline.</w:t>
      </w:r>
    </w:p>
    <w:p>
      <w:pPr>
        <w:spacing w:after="120"/>
        <w:ind w:firstLine="708"/>
        <w:jc w:val="both"/>
      </w:pPr>
      <w:r>
        <w:rPr>
          <w:rFonts w:ascii="Arial" w:cs="Arial" w:eastAsia="Arial" w:hAnsi="Arial"/>
          <w:sz w:val="24"/>
          <w:szCs w:val="24"/>
        </w:rPr>
        <w:t xml:space="preserve">Результаты моделирования могут быть легко экспортированы или скопированы из EViews в файл Excel (прилагается к настоящему документу).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vv-cx2ebjh5xc-gedbbv">
      <w:r>
        <w:rPr>
          <w:rFonts w:ascii="Arial" w:cs="Arial" w:eastAsia="Arial" w:hAnsi="Arial"/>
          <w:color w:val="132D3F"/>
          <w:sz w:val="16"/>
          <w:szCs w:val="16"/>
          <w:u w:val="single"/>
        </w:rPr>
        <w:t xml:space="preserve">dalil.kg/document/160497</w:t>
      </w:r>
    </w:hyperlink>
  </w:p>
  <w:p>
    <w:pPr>
      <w:spacing w:after="0" w:before="40"/>
      <w:jc w:val="center"/>
    </w:pPr>
    <w:hyperlink w:history="1" r:id="rIdswo_k99ulrfoskr_wbp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pjqr4huykm7jcz_m27g" Type="http://schemas.openxmlformats.org/officeDocument/2006/relationships/hyperlink" Target="https://dalil.kg/document/160487" TargetMode="External"/><Relationship Id="rId0mcd3dzaux7mslfapuv-6" Type="http://schemas.openxmlformats.org/officeDocument/2006/relationships/hyperlink" Target="https://dalil.kg/document/1604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vv-cx2ebjh5xc-gedbbv" Type="http://schemas.openxmlformats.org/officeDocument/2006/relationships/hyperlink" Target="https://dalil.kg/document/160497" TargetMode="External"/><Relationship Id="rIdswo_k99ulrfoskr_wbp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2026-09-24T14:06:44.100Z</dcterms:created>
  <dcterms:modified xsi:type="dcterms:W3CDTF">2026-09-24T14:06:44.100Z</dcterms:modified>
</cp:coreProperties>
</file>

<file path=docProps/custom.xml><?xml version="1.0" encoding="utf-8"?>
<Properties xmlns="http://schemas.openxmlformats.org/officeDocument/2006/custom-properties" xmlns:vt="http://schemas.openxmlformats.org/officeDocument/2006/docPropsVTypes"/>
</file>