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критериев оценки степени риска при осуществлении предпринимательской деятельности» от 18 февраля 2012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проверок, приведения в соответствие наименований субъектов предпринимательства топливно-энергетического комплекса, объективной оценки степени риска деятельности субъектов предпринимательства топливно-энергетического комплекса в части соблюдения антимонопольного законодательства, условий лицензирования, правильности формирования и применения цен (тарифов), в соответствии со </w:t>
      </w:r>
      <w:hyperlink w:history="1" r:id="rIdi1tkdtylrmsysssbgha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порядке проведения проверок субъектов предпринимательства», статьями </w:t>
      </w:r>
      <w:hyperlink w:history="1" r:id="rId6-t1cbaedbaicsuayk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4wbv_r0r9gaaiqp0us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xouizpldoy-6nntyfw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критериев оценки степени риска при осуществлении предпринимательской деятельности» от 18 февраля 2012 года № 108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msqkj3ynxz_zwhb4_q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критериях оценки</w:t>
        </w:r>
      </w:hyperlink>
      <w:r>
        <w:rPr>
          <w:rFonts w:ascii="Arial" w:cs="Arial" w:eastAsia="Arial" w:hAnsi="Arial"/>
          <w:sz w:val="24"/>
          <w:szCs w:val="24"/>
        </w:rPr>
        <w:t xml:space="preserve"> степени риска при осуществлении предпринимательской деятельности,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a70brh4bavtehpub9d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zo5fx3lxedi_d8bnmwj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12</w:t>
        </w:r>
      </w:hyperlink>
      <w:r>
        <w:rPr>
          <w:rFonts w:ascii="Arial" w:cs="Arial" w:eastAsia="Arial" w:hAnsi="Arial"/>
          <w:sz w:val="24"/>
          <w:szCs w:val="24"/>
        </w:rPr>
        <w:t xml:space="preserve">. Критерии оценки степени риска в сфере соблюдения антимонопольного законодательства, условий лицензирования, правильности формирования и применения цен (тарифов) субъектами топливно-энергетического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Критерии оценки степени риска в сфере соблюдения антимонопольного законодательства, условий лицензирования, правильности формирования и применения цен (тарифов) субъектами топливно-энергетического комплекса: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3979"/>
        <w:gridCol w:w="5068"/>
        <w:gridCol w:w="828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5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Факторы риска</w:t>
            </w:r>
          </w:p>
        </w:tc>
        <w:tc>
          <w:tcPr>
            <w:tcW w:type="dxa" w:w="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конкурентного рынка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монополисты (выработка, передача, распределение, продажа электрической энергии, тепловой энергии, природного газа)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Лицензиаты, не включенные в реестр естественных монополистов и имеющие надбавку к конечному тарифу при продаже электрической энергии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лицензиаты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Доходность субъектов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100,0 млн. сомов в год и выше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10,0 млн. сомов до 100,0 млн. сомов в год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10,0 млн. сомов в год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(тарифы), регулируемые государством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регулируемые государством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регулируемые государством (периодично на время действия лицензии и тарифов)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регулирование не требуется (потребность в электрической энергии на собственные нужды, тарифное регулирование не требуется)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потребителя в выборе поставщика услуг (в данном случае выбор электролиний, теплотрасс, газопроводов к запитке)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Отсутствует возможность выбора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Незначительный выбор (в силу специфических и технологических условий)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неограничен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жалоб и заявлений потребителей на качество, условия предоставления услуг (электро-, теплоэнергия, газ)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Систематические жалобы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1-2 жалоб в год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 жалобы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сметы расходов от средств, утвержденных уполномоченным органом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на 10% и более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на 5% и более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Превышение отсутствует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отчета, информации, уведомлений о деятельности в уполномоченный орган в связи с полученными лицензиями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Предоставляет, но с нарушением установленных сроков или с нарушениями (недостоверная информация)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представляет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0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сверхнормативных потерь</w:t>
            </w:r>
          </w:p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1% до 10%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сверхнормативных потерь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6 октября 2023 года № 80 (3529)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q5vwf3r_xavx6ht4s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dalil.kg/document/160514</w:t>
      </w:r>
    </w:hyperlink>
  </w:p>
  <w:p>
    <w:pPr>
      <w:spacing w:after="0" w:before="40"/>
      <w:jc w:val="center"/>
    </w:pPr>
    <w:hyperlink w:history="1" r:id="rIdz8imbqhujz3ixckfqqj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tkdtylrmsysssbghapq" Type="http://schemas.openxmlformats.org/officeDocument/2006/relationships/hyperlink" Target="https://dalil.kg/document/202105#st_6" TargetMode="External"/><Relationship Id="rId6-t1cbaedbaicsuaykxqb" Type="http://schemas.openxmlformats.org/officeDocument/2006/relationships/hyperlink" Target="https://dalil.kg/document/112301#st_13" TargetMode="External"/><Relationship Id="rIda4wbv_r0r9gaaiqp0usbe" Type="http://schemas.openxmlformats.org/officeDocument/2006/relationships/hyperlink" Target="https://dalil.kg/document/112301#st_17" TargetMode="External"/><Relationship Id="rIdoxouizpldoy-6nntyfw21" Type="http://schemas.openxmlformats.org/officeDocument/2006/relationships/hyperlink" Target="https://dalil.kg/document/93470" TargetMode="External"/><Relationship Id="rIdnmsqkj3ynxz_zwhb4_quc" Type="http://schemas.openxmlformats.org/officeDocument/2006/relationships/hyperlink" Target="https://dalil.kg/document/93470" TargetMode="External"/><Relationship Id="rIdca70brh4bavtehpub9d91" Type="http://schemas.openxmlformats.org/officeDocument/2006/relationships/hyperlink" Target="https://dalil.kg/document/93470#g12" TargetMode="External"/><Relationship Id="rIdzo5fx3lxedi_d8bnmwjra" Type="http://schemas.openxmlformats.org/officeDocument/2006/relationships/hyperlink" Target="https://dalil.kg/document/93470#g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q5vwf3r_xavx6ht4sha" Type="http://schemas.openxmlformats.org/officeDocument/2006/relationships/hyperlink" Target="https://dalil.kg/document/160514" TargetMode="External"/><Relationship Id="rIdz8imbqhujz3ixckfqqj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2026-09-23T16:02:53.198Z</dcterms:created>
  <dcterms:modified xsi:type="dcterms:W3CDTF">2026-09-23T16:02:53.198Z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