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jc w:val="center"/>
      </w:pPr>
      <w:r>
        <w:rPr>
          <w:rFonts w:ascii="Arial" w:cs="Arial" w:eastAsia="Arial" w:hAnsi="Arial"/>
          <w:i/>
          <w:iCs/>
          <w:sz w:val="24"/>
          <w:szCs w:val="24"/>
        </w:rPr>
        <w:t xml:space="preserve">УТРАТИЛО СИЛУ
 в соответствии с </w:t>
      </w:r>
      <w:hyperlink w:history="1" r:id="rId7sv4lhusebmaolhjz1tn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3 сентября 2024 года № 554</w:t>
      </w:r>
    </w:p>
    <w:p>
      <w:pPr>
        <w:spacing w:after="360" w:before="200"/>
        <w:jc w:val="center"/>
      </w:pPr>
      <w:r>
        <w:rPr>
          <w:rFonts w:ascii="Arial" w:cs="Arial" w:eastAsia="Arial" w:hAnsi="Arial"/>
          <w:sz w:val="24"/>
          <w:szCs w:val="24"/>
        </w:rPr>
        <w:t xml:space="preserve"/>
      </w:r>
    </w:p>
    <w:p>
      <w:pPr>
        <w:spacing w:after="36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1</w:t>
      </w:r>
      <w:r>
        <w:rPr>
          <w:rFonts w:ascii="Arial" w:cs="Arial" w:eastAsia="Arial" w:hAnsi="Arial"/>
          <w:sz w:val="24"/>
          <w:szCs w:val="24"/>
        </w:rPr>
        <w:t xml:space="preserve">2 </w:t>
      </w:r>
      <w:r>
        <w:rPr>
          <w:rFonts w:ascii="Arial" w:cs="Arial" w:eastAsia="Arial" w:hAnsi="Arial"/>
          <w:sz w:val="24"/>
          <w:szCs w:val="24"/>
        </w:rPr>
        <w:t xml:space="preserve">октября</w:t>
      </w:r>
      <w:r>
        <w:rPr>
          <w:rFonts w:ascii="Arial" w:cs="Arial" w:eastAsia="Arial" w:hAnsi="Arial"/>
          <w:sz w:val="24"/>
          <w:szCs w:val="24"/>
        </w:rPr>
        <w:t xml:space="preserve"> 202</w:t>
      </w:r>
      <w:r>
        <w:rPr>
          <w:rFonts w:ascii="Arial" w:cs="Arial" w:eastAsia="Arial" w:hAnsi="Arial"/>
          <w:sz w:val="24"/>
          <w:szCs w:val="24"/>
        </w:rPr>
        <w:t xml:space="preserve">3</w:t>
      </w:r>
      <w:r>
        <w:rPr>
          <w:rFonts w:ascii="Arial" w:cs="Arial" w:eastAsia="Arial" w:hAnsi="Arial"/>
          <w:sz w:val="24"/>
          <w:szCs w:val="24"/>
        </w:rPr>
        <w:t xml:space="preserve"> года № </w:t>
      </w:r>
      <w:r>
        <w:rPr>
          <w:rFonts w:ascii="Arial" w:cs="Arial" w:eastAsia="Arial" w:hAnsi="Arial"/>
          <w:sz w:val="24"/>
          <w:szCs w:val="24"/>
        </w:rPr>
        <w:t xml:space="preserve">5</w:t>
      </w:r>
      <w:r>
        <w:rPr>
          <w:rFonts w:ascii="Arial" w:cs="Arial" w:eastAsia="Arial" w:hAnsi="Arial"/>
          <w:sz w:val="24"/>
          <w:szCs w:val="24"/>
        </w:rPr>
        <w:t xml:space="preserve">45</w:t>
      </w:r>
    </w:p>
    <w:p>
      <w:pPr>
        <w:spacing w:after="120"/>
        <w:jc w:val="both"/>
      </w:pPr>
      <w:r>
        <w:rPr>
          <w:rFonts w:ascii="Arial" w:cs="Arial" w:eastAsia="Arial" w:hAnsi="Arial"/>
          <w:sz w:val="24"/>
          <w:szCs w:val="24"/>
        </w:rPr>
        <w:t xml:space="preserve">О внесении изменений в постановление Кабинета Министров Кыргызской Республики "Об утверждении Типового положения о Фондах развития регионов" от 16 января 2023 года № 20</w:t>
      </w:r>
    </w:p>
    <w:p>
      <w:pPr>
        <w:spacing w:after="120"/>
        <w:jc w:val="both"/>
      </w:pPr>
      <w:r>
        <w:rPr>
          <w:rFonts w:ascii="Arial" w:cs="Arial" w:eastAsia="Arial" w:hAnsi="Arial"/>
          <w:sz w:val="24"/>
          <w:szCs w:val="24"/>
        </w:rPr>
        <w:t xml:space="preserve">В целях совершенствования деятельности фондов развития регионов, в соответствии со </w:t>
      </w:r>
      <w:hyperlink w:history="1" r:id="rIdvnanuuzzumvpinyhfmxce">
        <w:r>
          <w:rPr>
            <w:rFonts w:ascii="Arial" w:cs="Arial" w:eastAsia="Arial" w:hAnsi="Arial"/>
            <w:color w:val="1D4ED8"/>
            <w:sz w:val="24"/>
            <w:szCs w:val="24"/>
            <w:u w:val="single"/>
          </w:rPr>
          <w:t xml:space="preserve">статьей 34</w:t>
        </w:r>
      </w:hyperlink>
      <w:r>
        <w:rPr>
          <w:rFonts w:ascii="Arial" w:cs="Arial" w:eastAsia="Arial" w:hAnsi="Arial"/>
          <w:sz w:val="24"/>
          <w:szCs w:val="24"/>
        </w:rPr>
        <w:t xml:space="preserve"> Бюджетного кодекса Кыргызской Республики, статьями </w:t>
      </w:r>
      <w:hyperlink w:history="1" r:id="rIdlmyh4e7-beeh8qesg55ea">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39ugdujwoswfbmb0vse6p">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1. Внести в </w:t>
      </w:r>
      <w:hyperlink w:history="1" r:id="rIdh6ep0t1c7ofi9zbfmuoe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w:t>
      </w:r>
      <w:hyperlink w:history="1" r:id="rId8yo7-mazitubpx8j1ybly">
        <w:r>
          <w:rPr>
            <w:rFonts w:ascii="Arial" w:cs="Arial" w:eastAsia="Arial" w:hAnsi="Arial"/>
            <w:color w:val="1D4ED8"/>
            <w:sz w:val="24"/>
            <w:szCs w:val="24"/>
            <w:u w:val="single"/>
          </w:rPr>
          <w:t xml:space="preserve">Типового положения</w:t>
        </w:r>
      </w:hyperlink>
      <w:r>
        <w:rPr>
          <w:rFonts w:ascii="Arial" w:cs="Arial" w:eastAsia="Arial" w:hAnsi="Arial"/>
          <w:sz w:val="24"/>
          <w:szCs w:val="24"/>
        </w:rPr>
        <w:t xml:space="preserve"> о Фондах развития регионов" от 16 января 2023 года № 20 следующие изменения:</w:t>
      </w:r>
    </w:p>
    <w:p>
      <w:pPr>
        <w:spacing w:after="120"/>
        <w:jc w:val="both"/>
      </w:pPr>
      <w:r>
        <w:rPr>
          <w:rFonts w:ascii="Arial" w:cs="Arial" w:eastAsia="Arial" w:hAnsi="Arial"/>
          <w:sz w:val="24"/>
          <w:szCs w:val="24"/>
        </w:rPr>
        <w:t xml:space="preserve">1) в пункте 1:</w:t>
      </w:r>
    </w:p>
    <w:p>
      <w:pPr>
        <w:spacing w:after="120"/>
        <w:jc w:val="both"/>
      </w:pPr>
      <w:r>
        <w:rPr>
          <w:rFonts w:ascii="Arial" w:cs="Arial" w:eastAsia="Arial" w:hAnsi="Arial"/>
          <w:sz w:val="24"/>
          <w:szCs w:val="24"/>
        </w:rPr>
        <w:t xml:space="preserve">- абзац восьмой признать утратившим силу;</w:t>
      </w:r>
    </w:p>
    <w:p>
      <w:pPr>
        <w:spacing w:after="120"/>
        <w:jc w:val="both"/>
      </w:pPr>
      <w:r>
        <w:rPr>
          <w:rFonts w:ascii="Arial" w:cs="Arial" w:eastAsia="Arial" w:hAnsi="Arial"/>
          <w:sz w:val="24"/>
          <w:szCs w:val="24"/>
        </w:rPr>
        <w:t xml:space="preserve">- дополнить абзацем следующего содержания:</w:t>
      </w:r>
    </w:p>
    <w:p>
      <w:pPr>
        <w:spacing w:after="120"/>
        <w:jc w:val="both"/>
      </w:pPr>
      <w:r>
        <w:rPr>
          <w:rFonts w:ascii="Arial" w:cs="Arial" w:eastAsia="Arial" w:hAnsi="Arial"/>
          <w:sz w:val="24"/>
          <w:szCs w:val="24"/>
        </w:rPr>
        <w:t xml:space="preserve">"- </w:t>
      </w:r>
      <w:hyperlink w:history="1" r:id="rIddtgeseq0vverbuotsmgjd">
        <w:r>
          <w:rPr>
            <w:rFonts w:ascii="Arial" w:cs="Arial" w:eastAsia="Arial" w:hAnsi="Arial"/>
            <w:color w:val="1D4ED8"/>
            <w:sz w:val="24"/>
            <w:szCs w:val="24"/>
            <w:u w:val="single"/>
          </w:rPr>
          <w:t xml:space="preserve">Типовую методику</w:t>
        </w:r>
      </w:hyperlink>
      <w:r>
        <w:rPr>
          <w:rFonts w:ascii="Arial" w:cs="Arial" w:eastAsia="Arial" w:hAnsi="Arial"/>
          <w:sz w:val="24"/>
          <w:szCs w:val="24"/>
        </w:rPr>
        <w:t xml:space="preserve"> по мониторингу и оценке деятельности Фондов развития регионов Кыргызской Республики согласно приложению 8.";</w:t>
      </w:r>
    </w:p>
    <w:p>
      <w:pPr>
        <w:spacing w:after="120"/>
        <w:jc w:val="both"/>
      </w:pPr>
      <w:r>
        <w:rPr>
          <w:rFonts w:ascii="Arial" w:cs="Arial" w:eastAsia="Arial" w:hAnsi="Arial"/>
          <w:sz w:val="24"/>
          <w:szCs w:val="24"/>
        </w:rPr>
        <w:t xml:space="preserve">2) дополнить </w:t>
      </w:r>
      <w:hyperlink w:history="1" r:id="rIdrzejauqnnmvcaxu4o11_o">
        <w:r>
          <w:rPr>
            <w:rFonts w:ascii="Arial" w:cs="Arial" w:eastAsia="Arial" w:hAnsi="Arial"/>
            <w:color w:val="1D4ED8"/>
            <w:sz w:val="24"/>
            <w:szCs w:val="24"/>
            <w:u w:val="single"/>
          </w:rPr>
          <w:t xml:space="preserve">приложением 8</w:t>
        </w:r>
      </w:hyperlink>
      <w:r>
        <w:rPr>
          <w:rFonts w:ascii="Arial" w:cs="Arial" w:eastAsia="Arial" w:hAnsi="Arial"/>
          <w:sz w:val="24"/>
          <w:szCs w:val="24"/>
        </w:rPr>
        <w:t xml:space="preserve"> согласно </w:t>
      </w:r>
      <w:hyperlink w:history="1" r:id="rIdkosspwuseztfr7fdgmngx">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3) </w:t>
      </w:r>
      <w:hyperlink w:history="1" r:id="rIdfd6vz3n1lujgg6vw0kzty">
        <w:r>
          <w:rPr>
            <w:rFonts w:ascii="Arial" w:cs="Arial" w:eastAsia="Arial" w:hAnsi="Arial"/>
            <w:color w:val="1D4ED8"/>
            <w:sz w:val="24"/>
            <w:szCs w:val="24"/>
            <w:u w:val="single"/>
          </w:rPr>
          <w:t xml:space="preserve">Типовое положение</w:t>
        </w:r>
      </w:hyperlink>
      <w:r>
        <w:rPr>
          <w:rFonts w:ascii="Arial" w:cs="Arial" w:eastAsia="Arial" w:hAnsi="Arial"/>
          <w:sz w:val="24"/>
          <w:szCs w:val="24"/>
        </w:rPr>
        <w:t xml:space="preserve"> о Фондах развития регионов, утвержденное вышеуказанным постановлением, изложить в редакции согласно </w:t>
      </w:r>
      <w:hyperlink w:history="1" r:id="rIdu587szds2mjmtry6ckpqk">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4) в </w:t>
      </w:r>
      <w:hyperlink w:history="1" r:id="rId6ea6wfe6qguh6cc8-enfb">
        <w:r>
          <w:rPr>
            <w:rFonts w:ascii="Arial" w:cs="Arial" w:eastAsia="Arial" w:hAnsi="Arial"/>
            <w:color w:val="1D4ED8"/>
            <w:sz w:val="24"/>
            <w:szCs w:val="24"/>
            <w:u w:val="single"/>
          </w:rPr>
          <w:t xml:space="preserve">критериях</w:t>
        </w:r>
      </w:hyperlink>
      <w:r>
        <w:rPr>
          <w:rFonts w:ascii="Arial" w:cs="Arial" w:eastAsia="Arial" w:hAnsi="Arial"/>
          <w:sz w:val="24"/>
          <w:szCs w:val="24"/>
        </w:rPr>
        <w:t xml:space="preserve"> отбора экономических проектов, утвержденных вышеуказанным постановлением:</w:t>
      </w:r>
    </w:p>
    <w:p>
      <w:pPr>
        <w:spacing w:after="120"/>
        <w:jc w:val="both"/>
      </w:pPr>
      <w:r>
        <w:rPr>
          <w:rFonts w:ascii="Arial" w:cs="Arial" w:eastAsia="Arial" w:hAnsi="Arial"/>
          <w:sz w:val="24"/>
          <w:szCs w:val="24"/>
        </w:rPr>
        <w:t xml:space="preserve">- дополнить пунктом 14 следующего содержания:</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04"/>
        <w:gridCol w:w="1437"/>
        <w:gridCol w:w="1437"/>
      </w:tblGrid>
      <w:tr>
        <w:tc>
          <w:tcPr>
            <w:tcW w:type="dxa" w:w="730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 Заявитель имеет сертификат (диплом) об окончании курсов по предпринимательству, полученный не более 3 лет назад</w:t>
            </w:r>
          </w:p>
        </w:tc>
        <w:tc>
          <w:tcPr>
            <w:tcW w:type="dxa" w:w="143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143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vMerge w:val="continue"/>
            <w:tcBorders>
              <w:top w:val="single" w:color="CBBF9E" w:sz="4"/>
              <w:left w:val="single" w:color="CBBF9E" w:sz="4"/>
              <w:bottom w:val="single" w:color="CBBF9E" w:sz="4"/>
              <w:right w:val="single" w:color="CBBF9E" w:sz="4"/>
            </w:tcBorders>
          </w:tcP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bl>
    <w:p>
      <w:pPr>
        <w:spacing w:after="120"/>
        <w:jc w:val="right"/>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Признать утратившим силу подпункт 1 пункта 1 </w:t>
      </w:r>
      <w:hyperlink w:history="1" r:id="rIdszahqjt1pyp3xvz-04a10">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внесении изменений в </w:t>
      </w:r>
      <w:hyperlink w:history="1" r:id="rIdmsszdoseq4s8v1fwaqwf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Типового положения о фондах развития регионов" от 16 января 2023 года № 20" от 6 апреля 2023 года № 187.</w:t>
      </w:r>
    </w:p>
    <w:p>
      <w:pPr>
        <w:spacing w:after="120"/>
        <w:jc w:val="both"/>
      </w:pPr>
      <w:r>
        <w:rPr>
          <w:rFonts w:ascii="Arial" w:cs="Arial" w:eastAsia="Arial" w:hAnsi="Arial"/>
          <w:sz w:val="24"/>
          <w:szCs w:val="24"/>
        </w:rPr>
        <w:t xml:space="preserve">3. Настоящее постановление вступает в силу по истечении десяти дней со дня официального опубликования.</w:t>
      </w:r>
    </w:p>
    <w:p>
      <w:pPr>
        <w:spacing w:after="120"/>
        <w:jc w:val="both"/>
      </w:pPr>
      <w:r>
        <w:rPr>
          <w:rFonts w:ascii="Arial" w:cs="Arial" w:eastAsia="Arial" w:hAnsi="Arial"/>
          <w:i/>
          <w:iCs/>
          <w:sz w:val="24"/>
          <w:szCs w:val="24"/>
        </w:rPr>
        <w:t xml:space="preserve">Опубликовано в официальной государственной газете «Эркин-Тоо» от </w:t>
      </w:r>
      <w:r>
        <w:rPr>
          <w:rFonts w:ascii="Arial" w:cs="Arial" w:eastAsia="Arial" w:hAnsi="Arial"/>
          <w:i/>
          <w:iCs/>
          <w:sz w:val="24"/>
          <w:szCs w:val="24"/>
        </w:rPr>
        <w:t xml:space="preserve">2</w:t>
      </w:r>
      <w:r>
        <w:rPr>
          <w:rFonts w:ascii="Arial" w:cs="Arial" w:eastAsia="Arial" w:hAnsi="Arial"/>
          <w:i/>
          <w:iCs/>
          <w:sz w:val="24"/>
          <w:szCs w:val="24"/>
        </w:rPr>
        <w:t xml:space="preserve">0 октября 2023 года № 84 (35</w:t>
      </w:r>
      <w:r>
        <w:rPr>
          <w:rFonts w:ascii="Arial" w:cs="Arial" w:eastAsia="Arial" w:hAnsi="Arial"/>
          <w:i/>
          <w:iCs/>
          <w:sz w:val="24"/>
          <w:szCs w:val="24"/>
        </w:rPr>
        <w:t xml:space="preserve">3</w:t>
      </w:r>
      <w:r>
        <w:rPr>
          <w:rFonts w:ascii="Arial" w:cs="Arial" w:eastAsia="Arial" w:hAnsi="Arial"/>
          <w:i/>
          <w:iCs/>
          <w:sz w:val="24"/>
          <w:szCs w:val="24"/>
        </w:rPr>
        <w:t xml:space="preserve">3)</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8"/>
          <w:szCs w:val="28"/>
        </w:rPr>
        <w:t xml:space="preserve">"Т</w:t>
      </w:r>
      <w:r>
        <w:rPr>
          <w:rFonts w:ascii="Arial" w:cs="Arial" w:eastAsia="Arial" w:hAnsi="Arial"/>
          <w:sz w:val="28"/>
          <w:szCs w:val="28"/>
        </w:rPr>
        <w:t xml:space="preserve">иповое положение </w:t>
      </w:r>
      <w:r>
        <w:rPr>
          <w:rFonts w:ascii="Arial" w:cs="Arial" w:eastAsia="Arial" w:hAnsi="Arial"/>
          <w:sz w:val="28"/>
          <w:szCs w:val="28"/>
        </w:rPr>
        <w:t xml:space="preserve">
 о Фондах развития регионов</w:t>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1. Настоящее Типовое положение разработано в соответствии с нормами Бюджетного </w:t>
      </w:r>
      <w:hyperlink w:history="1" r:id="rIdu9jbpn5pkdy5wszrtuob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w:t>
      </w:r>
      <w:hyperlink w:history="1" r:id="rIdvq0yysj5cp_okq4t_uvth">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неналоговых доходах, </w:t>
      </w:r>
      <w:hyperlink w:history="1" r:id="rIdtenwjsvwvv4-h0rscffq7">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 закупках", </w:t>
      </w:r>
      <w:hyperlink w:history="1" r:id="rIdlhn0tchhlzpinjxr-cmr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некоммерческих организациях" и определяет порядок деятельности Фонда развития региона (далее - Фонд).</w:t>
      </w:r>
    </w:p>
    <w:p>
      <w:pPr>
        <w:spacing w:after="120"/>
        <w:jc w:val="both"/>
      </w:pPr>
      <w:r>
        <w:rPr>
          <w:rFonts w:ascii="Arial" w:cs="Arial" w:eastAsia="Arial" w:hAnsi="Arial"/>
          <w:sz w:val="24"/>
          <w:szCs w:val="24"/>
        </w:rPr>
        <w:t xml:space="preserve">2. Деятельность Фонда осуществляется на основе </w:t>
      </w:r>
      <w:hyperlink w:history="1" r:id="rIdukoil20geedz1s5ol2jsd">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неналоговых доходах, Бюджетного </w:t>
      </w:r>
      <w:hyperlink w:history="1" r:id="rId_etpjmp761le3qszt4wj5">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w:t>
      </w:r>
      <w:hyperlink w:history="1" r:id="rIdsx0nqmkmtcdjmhw0vbtz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 закупках" и настоящего Типового положения.</w:t>
      </w:r>
    </w:p>
    <w:p>
      <w:pPr>
        <w:spacing w:after="120"/>
        <w:jc w:val="both"/>
      </w:pPr>
      <w:r>
        <w:rPr>
          <w:rFonts w:ascii="Arial" w:cs="Arial" w:eastAsia="Arial" w:hAnsi="Arial"/>
          <w:sz w:val="24"/>
          <w:szCs w:val="24"/>
        </w:rPr>
        <w:t xml:space="preserve">3. Фонд обладает статусом юридического лица в виде Фонда развития области или Фонда развития района и создается в организационно-правовой форме государственного учреждения.</w:t>
      </w:r>
    </w:p>
    <w:p>
      <w:pPr>
        <w:spacing w:after="120"/>
        <w:jc w:val="both"/>
      </w:pPr>
      <w:r>
        <w:rPr>
          <w:rFonts w:ascii="Arial" w:cs="Arial" w:eastAsia="Arial" w:hAnsi="Arial"/>
          <w:sz w:val="24"/>
          <w:szCs w:val="24"/>
        </w:rPr>
        <w:t xml:space="preserve">4. Учредителем Фонда развития области является полномочный представитель Президента Кыргызской Республики в области.</w:t>
      </w:r>
    </w:p>
    <w:p>
      <w:pPr>
        <w:spacing w:after="120"/>
        <w:jc w:val="both"/>
      </w:pPr>
      <w:r>
        <w:rPr>
          <w:rFonts w:ascii="Arial" w:cs="Arial" w:eastAsia="Arial" w:hAnsi="Arial"/>
          <w:sz w:val="24"/>
          <w:szCs w:val="24"/>
        </w:rPr>
        <w:t xml:space="preserve">5. Учредителем Фонда развития района является местная государственная администрация.</w:t>
      </w:r>
    </w:p>
    <w:p>
      <w:pPr>
        <w:spacing w:after="120"/>
        <w:jc w:val="both"/>
      </w:pPr>
      <w:r>
        <w:rPr>
          <w:rFonts w:ascii="Arial" w:cs="Arial" w:eastAsia="Arial" w:hAnsi="Arial"/>
          <w:sz w:val="24"/>
          <w:szCs w:val="24"/>
        </w:rPr>
        <w:t xml:space="preserve">6. Средства Фонда являются денежными средствами бюджетной системы Кыргызской Республики.</w:t>
      </w:r>
    </w:p>
    <w:p>
      <w:pPr>
        <w:spacing w:after="120"/>
        <w:jc w:val="both"/>
      </w:pPr>
      <w:r>
        <w:rPr>
          <w:rFonts w:ascii="Arial" w:cs="Arial" w:eastAsia="Arial" w:hAnsi="Arial"/>
          <w:sz w:val="24"/>
          <w:szCs w:val="24"/>
        </w:rPr>
        <w:t xml:space="preserve">7. Для осуществления деятельности Фонда открываются бюджетный и специальный счета в системе казначейства.</w:t>
      </w:r>
    </w:p>
    <w:p>
      <w:pPr>
        <w:spacing w:after="120"/>
        <w:jc w:val="both"/>
      </w:pPr>
      <w:r>
        <w:rPr>
          <w:rFonts w:ascii="Arial" w:cs="Arial" w:eastAsia="Arial" w:hAnsi="Arial"/>
          <w:sz w:val="24"/>
          <w:szCs w:val="24"/>
        </w:rPr>
        <w:t xml:space="preserve">8. Фонд осуществляет свою деятельность на принципах законности, открытости, прозрачности, гласности, а также рационального и эффективного управления средствами Фонда.</w:t>
      </w:r>
    </w:p>
    <w:p>
      <w:pPr>
        <w:spacing w:after="120"/>
        <w:jc w:val="both"/>
      </w:pPr>
      <w:r>
        <w:rPr>
          <w:rFonts w:ascii="Arial" w:cs="Arial" w:eastAsia="Arial" w:hAnsi="Arial"/>
          <w:sz w:val="24"/>
          <w:szCs w:val="24"/>
        </w:rPr>
        <w:t xml:space="preserve">Глава 2. Понятия, применяемые в настоящем Типовом положении</w:t>
      </w:r>
    </w:p>
    <w:p>
      <w:pPr>
        <w:spacing w:after="120"/>
        <w:jc w:val="both"/>
      </w:pPr>
      <w:r>
        <w:rPr>
          <w:rFonts w:ascii="Arial" w:cs="Arial" w:eastAsia="Arial" w:hAnsi="Arial"/>
          <w:sz w:val="24"/>
          <w:szCs w:val="24"/>
        </w:rPr>
        <w:t xml:space="preserve">9. Понятия, применяемые в настоящем Типовом положении:</w:t>
      </w:r>
    </w:p>
    <w:p>
      <w:pPr>
        <w:spacing w:after="120"/>
        <w:jc w:val="both"/>
      </w:pPr>
      <w:r>
        <w:rPr>
          <w:rFonts w:ascii="Arial" w:cs="Arial" w:eastAsia="Arial" w:hAnsi="Arial"/>
          <w:sz w:val="24"/>
          <w:szCs w:val="24"/>
        </w:rPr>
        <w:t xml:space="preserve">1) </w:t>
      </w:r>
      <w:r>
        <w:rPr>
          <w:rFonts w:ascii="Arial" w:cs="Arial" w:eastAsia="Arial" w:hAnsi="Arial"/>
          <w:b/>
          <w:bCs/>
          <w:sz w:val="24"/>
          <w:szCs w:val="24"/>
        </w:rPr>
        <w:t xml:space="preserve">заявитель</w:t>
      </w:r>
      <w:r>
        <w:rPr>
          <w:rFonts w:ascii="Arial" w:cs="Arial" w:eastAsia="Arial" w:hAnsi="Arial"/>
          <w:sz w:val="24"/>
          <w:szCs w:val="24"/>
        </w:rPr>
        <w:t xml:space="preserve"> - орган местного самоуправления, государственный орган или субъект предпринимательства, подавший проектную заявку на участие в конкурсе по отбору проектов для финансирования за счет средств Фонда;</w:t>
      </w:r>
    </w:p>
    <w:p>
      <w:pPr>
        <w:spacing w:after="120"/>
        <w:jc w:val="both"/>
      </w:pPr>
      <w:r>
        <w:rPr>
          <w:rFonts w:ascii="Arial" w:cs="Arial" w:eastAsia="Arial" w:hAnsi="Arial"/>
          <w:sz w:val="24"/>
          <w:szCs w:val="24"/>
        </w:rPr>
        <w:t xml:space="preserve">2) </w:t>
      </w:r>
      <w:r>
        <w:rPr>
          <w:rFonts w:ascii="Arial" w:cs="Arial" w:eastAsia="Arial" w:hAnsi="Arial"/>
          <w:b/>
          <w:bCs/>
          <w:sz w:val="24"/>
          <w:szCs w:val="24"/>
        </w:rPr>
        <w:t xml:space="preserve">исполнитель проекта</w:t>
      </w:r>
      <w:r>
        <w:rPr>
          <w:rFonts w:ascii="Arial" w:cs="Arial" w:eastAsia="Arial" w:hAnsi="Arial"/>
          <w:sz w:val="24"/>
          <w:szCs w:val="24"/>
        </w:rPr>
        <w:t xml:space="preserve"> - орган местного самоуправления, государственный орган и субъект предпринимательства, чья проектная заявка получила одобрение Наблюдательного совета Фонда, и заключивший договор с Фондом на финансирование проекта;</w:t>
      </w:r>
    </w:p>
    <w:p>
      <w:pPr>
        <w:spacing w:after="120"/>
        <w:jc w:val="both"/>
      </w:pPr>
      <w:r>
        <w:rPr>
          <w:rFonts w:ascii="Arial" w:cs="Arial" w:eastAsia="Arial" w:hAnsi="Arial"/>
          <w:sz w:val="24"/>
          <w:szCs w:val="24"/>
        </w:rPr>
        <w:t xml:space="preserve">3) </w:t>
      </w:r>
      <w:r>
        <w:rPr>
          <w:rFonts w:ascii="Arial" w:cs="Arial" w:eastAsia="Arial" w:hAnsi="Arial"/>
          <w:b/>
          <w:bCs/>
          <w:sz w:val="24"/>
          <w:szCs w:val="24"/>
        </w:rPr>
        <w:t xml:space="preserve">инфраструктурные услуги</w:t>
      </w:r>
      <w:r>
        <w:rPr>
          <w:rFonts w:ascii="Arial" w:cs="Arial" w:eastAsia="Arial" w:hAnsi="Arial"/>
          <w:sz w:val="24"/>
          <w:szCs w:val="24"/>
        </w:rPr>
        <w:t xml:space="preserve"> - работы и/или услуги социального, экономического или производственного назначения, в том числе работы и/или услуги, предоставляемые с использованием инфраструктурного объекта и/или по обслуживанию инфраструктурного объекта;</w:t>
      </w:r>
    </w:p>
    <w:p>
      <w:pPr>
        <w:spacing w:after="120"/>
        <w:jc w:val="both"/>
      </w:pPr>
      <w:r>
        <w:rPr>
          <w:rFonts w:ascii="Arial" w:cs="Arial" w:eastAsia="Arial" w:hAnsi="Arial"/>
          <w:sz w:val="24"/>
          <w:szCs w:val="24"/>
        </w:rPr>
        <w:t xml:space="preserve">4) </w:t>
      </w:r>
      <w:r>
        <w:rPr>
          <w:rFonts w:ascii="Arial" w:cs="Arial" w:eastAsia="Arial" w:hAnsi="Arial"/>
          <w:b/>
          <w:bCs/>
          <w:sz w:val="24"/>
          <w:szCs w:val="24"/>
        </w:rPr>
        <w:t xml:space="preserve">инфраструктурный объект</w:t>
      </w:r>
      <w:r>
        <w:rPr>
          <w:rFonts w:ascii="Arial" w:cs="Arial" w:eastAsia="Arial" w:hAnsi="Arial"/>
          <w:sz w:val="24"/>
          <w:szCs w:val="24"/>
        </w:rPr>
        <w:t xml:space="preserve"> - имущество или имущественный комплекс социального, экономического или производственного назначения, находящийся в государственной и муниципальной собственности;</w:t>
      </w:r>
    </w:p>
    <w:p>
      <w:pPr>
        <w:spacing w:after="120"/>
        <w:jc w:val="both"/>
      </w:pPr>
      <w:r>
        <w:rPr>
          <w:rFonts w:ascii="Arial" w:cs="Arial" w:eastAsia="Arial" w:hAnsi="Arial"/>
          <w:sz w:val="24"/>
          <w:szCs w:val="24"/>
        </w:rPr>
        <w:t xml:space="preserve">5) </w:t>
      </w:r>
      <w:r>
        <w:rPr>
          <w:rFonts w:ascii="Arial" w:cs="Arial" w:eastAsia="Arial" w:hAnsi="Arial"/>
          <w:b/>
          <w:bCs/>
          <w:sz w:val="24"/>
          <w:szCs w:val="24"/>
        </w:rPr>
        <w:t xml:space="preserve">инфраструктурный проект</w:t>
      </w:r>
      <w:r>
        <w:rPr>
          <w:rFonts w:ascii="Arial" w:cs="Arial" w:eastAsia="Arial" w:hAnsi="Arial"/>
          <w:sz w:val="24"/>
          <w:szCs w:val="24"/>
        </w:rPr>
        <w:t xml:space="preserve"> - перечень задач, действий и мероприятий, направленных на создание или улучшение объекта инфраструктуры, с обоснованием социально-экономической целесообразности, объемов и сроков осуществления капитальных расходов, инициированных органами местного самоуправления с участием представителей местного сообщества;</w:t>
      </w:r>
    </w:p>
    <w:p>
      <w:pPr>
        <w:spacing w:after="120"/>
        <w:jc w:val="both"/>
      </w:pPr>
      <w:r>
        <w:rPr>
          <w:rFonts w:ascii="Arial" w:cs="Arial" w:eastAsia="Arial" w:hAnsi="Arial"/>
          <w:sz w:val="24"/>
          <w:szCs w:val="24"/>
        </w:rPr>
        <w:t xml:space="preserve">6) </w:t>
      </w:r>
      <w:r>
        <w:rPr>
          <w:rFonts w:ascii="Arial" w:cs="Arial" w:eastAsia="Arial" w:hAnsi="Arial"/>
          <w:b/>
          <w:bCs/>
          <w:sz w:val="24"/>
          <w:szCs w:val="24"/>
        </w:rPr>
        <w:t xml:space="preserve">мобилизация местного сообщества</w:t>
      </w:r>
      <w:r>
        <w:rPr>
          <w:rFonts w:ascii="Arial" w:cs="Arial" w:eastAsia="Arial" w:hAnsi="Arial"/>
          <w:sz w:val="24"/>
          <w:szCs w:val="24"/>
        </w:rPr>
        <w:t xml:space="preserve"> - процесс решения проблемы на местном уровне с непосредственным участием и поддержкой местного сообщества, организованных групп граждан;</w:t>
      </w:r>
    </w:p>
    <w:p>
      <w:pPr>
        <w:spacing w:after="120"/>
        <w:jc w:val="both"/>
      </w:pPr>
      <w:r>
        <w:rPr>
          <w:rFonts w:ascii="Arial" w:cs="Arial" w:eastAsia="Arial" w:hAnsi="Arial"/>
          <w:sz w:val="24"/>
          <w:szCs w:val="24"/>
        </w:rPr>
        <w:t xml:space="preserve">7) </w:t>
      </w:r>
      <w:r>
        <w:rPr>
          <w:rFonts w:ascii="Arial" w:cs="Arial" w:eastAsia="Arial" w:hAnsi="Arial"/>
          <w:b/>
          <w:bCs/>
          <w:sz w:val="24"/>
          <w:szCs w:val="24"/>
        </w:rPr>
        <w:t xml:space="preserve">проектная заявка</w:t>
      </w:r>
      <w:r>
        <w:rPr>
          <w:rFonts w:ascii="Arial" w:cs="Arial" w:eastAsia="Arial" w:hAnsi="Arial"/>
          <w:sz w:val="24"/>
          <w:szCs w:val="24"/>
        </w:rPr>
        <w:t xml:space="preserve"> - описание проекта, разработанное на основе типового формата и представленное от имени органа местного самоуправления, государственного органа и субъекта предпринимательства для участия в конкурсе по отбору проектов, финансируемых за счет средств Фонда;</w:t>
      </w:r>
    </w:p>
    <w:p>
      <w:pPr>
        <w:spacing w:after="120"/>
        <w:jc w:val="both"/>
      </w:pPr>
      <w:r>
        <w:rPr>
          <w:rFonts w:ascii="Arial" w:cs="Arial" w:eastAsia="Arial" w:hAnsi="Arial"/>
          <w:sz w:val="24"/>
          <w:szCs w:val="24"/>
        </w:rPr>
        <w:t xml:space="preserve">8) </w:t>
      </w:r>
      <w:r>
        <w:rPr>
          <w:rFonts w:ascii="Arial" w:cs="Arial" w:eastAsia="Arial" w:hAnsi="Arial"/>
          <w:b/>
          <w:bCs/>
          <w:sz w:val="24"/>
          <w:szCs w:val="24"/>
        </w:rPr>
        <w:t xml:space="preserve">план финансирования проекта</w:t>
      </w:r>
      <w:r>
        <w:rPr>
          <w:rFonts w:ascii="Arial" w:cs="Arial" w:eastAsia="Arial" w:hAnsi="Arial"/>
          <w:sz w:val="24"/>
          <w:szCs w:val="24"/>
        </w:rPr>
        <w:t xml:space="preserve"> - часть проектной заявки, описывающей этапы и порядок финансирования проекта по траншам и соответствующей плану реализации проекта;</w:t>
      </w:r>
    </w:p>
    <w:p>
      <w:pPr>
        <w:spacing w:after="120"/>
        <w:jc w:val="both"/>
      </w:pPr>
      <w:r>
        <w:rPr>
          <w:rFonts w:ascii="Arial" w:cs="Arial" w:eastAsia="Arial" w:hAnsi="Arial"/>
          <w:sz w:val="24"/>
          <w:szCs w:val="24"/>
        </w:rPr>
        <w:t xml:space="preserve">9) </w:t>
      </w:r>
      <w:r>
        <w:rPr>
          <w:rFonts w:ascii="Arial" w:cs="Arial" w:eastAsia="Arial" w:hAnsi="Arial"/>
          <w:b/>
          <w:bCs/>
          <w:sz w:val="24"/>
          <w:szCs w:val="24"/>
        </w:rPr>
        <w:t xml:space="preserve">план мониторинга и оценки</w:t>
      </w:r>
      <w:r>
        <w:rPr>
          <w:rFonts w:ascii="Arial" w:cs="Arial" w:eastAsia="Arial" w:hAnsi="Arial"/>
          <w:sz w:val="24"/>
          <w:szCs w:val="24"/>
        </w:rPr>
        <w:t xml:space="preserve"> - этапы и порядок проведения наблюдения с целью выявления отклонений от требований настоящего Типового положения при реализации проекта, а также оценки эффективности деятельности Фонда;</w:t>
      </w:r>
    </w:p>
    <w:p>
      <w:pPr>
        <w:spacing w:after="120"/>
        <w:jc w:val="both"/>
      </w:pPr>
      <w:r>
        <w:rPr>
          <w:rFonts w:ascii="Arial" w:cs="Arial" w:eastAsia="Arial" w:hAnsi="Arial"/>
          <w:sz w:val="24"/>
          <w:szCs w:val="24"/>
        </w:rPr>
        <w:t xml:space="preserve">10) </w:t>
      </w:r>
      <w:r>
        <w:rPr>
          <w:rFonts w:ascii="Arial" w:cs="Arial" w:eastAsia="Arial" w:hAnsi="Arial"/>
          <w:b/>
          <w:bCs/>
          <w:sz w:val="24"/>
          <w:szCs w:val="24"/>
        </w:rPr>
        <w:t xml:space="preserve">социальный проект</w:t>
      </w:r>
      <w:r>
        <w:rPr>
          <w:rFonts w:ascii="Arial" w:cs="Arial" w:eastAsia="Arial" w:hAnsi="Arial"/>
          <w:sz w:val="24"/>
          <w:szCs w:val="24"/>
        </w:rPr>
        <w:t xml:space="preserve"> - целенаправленная, ограниченная во времени деятельность органов местного самоуправления или государственных органов по предоставлению населению инфраструктурных услуг в рамках решения вопросов местного значения в сферах образования, культуры, здравоохранения, спорта, социальной защиты, досуга, работы с молодежью, народного творчества;</w:t>
      </w:r>
    </w:p>
    <w:p>
      <w:pPr>
        <w:spacing w:after="120"/>
        <w:jc w:val="both"/>
      </w:pPr>
      <w:r>
        <w:rPr>
          <w:rFonts w:ascii="Arial" w:cs="Arial" w:eastAsia="Arial" w:hAnsi="Arial"/>
          <w:sz w:val="24"/>
          <w:szCs w:val="24"/>
        </w:rPr>
        <w:t xml:space="preserve">11) </w:t>
      </w:r>
      <w:r>
        <w:rPr>
          <w:rFonts w:ascii="Arial" w:cs="Arial" w:eastAsia="Arial" w:hAnsi="Arial"/>
          <w:b/>
          <w:bCs/>
          <w:sz w:val="24"/>
          <w:szCs w:val="24"/>
        </w:rPr>
        <w:t xml:space="preserve">экономический проект</w:t>
      </w:r>
      <w:r>
        <w:rPr>
          <w:rFonts w:ascii="Arial" w:cs="Arial" w:eastAsia="Arial" w:hAnsi="Arial"/>
          <w:sz w:val="24"/>
          <w:szCs w:val="24"/>
        </w:rPr>
        <w:t xml:space="preserve"> - бизнес-проект с полным описанием и обоснованием экономической целесообразности, объема и сроков осуществления прямых инвестиций субъектами предпринимательства в создание новых товаров и услуг либо реконструкции или модернизации действующих производств в целях получения прибыли;</w:t>
      </w:r>
    </w:p>
    <w:p>
      <w:pPr>
        <w:spacing w:after="120"/>
        <w:jc w:val="both"/>
      </w:pPr>
      <w:r>
        <w:rPr>
          <w:rFonts w:ascii="Arial" w:cs="Arial" w:eastAsia="Arial" w:hAnsi="Arial"/>
          <w:sz w:val="24"/>
          <w:szCs w:val="24"/>
        </w:rPr>
        <w:t xml:space="preserve">12) </w:t>
      </w:r>
      <w:r>
        <w:rPr>
          <w:rFonts w:ascii="Arial" w:cs="Arial" w:eastAsia="Arial" w:hAnsi="Arial"/>
          <w:b/>
          <w:bCs/>
          <w:sz w:val="24"/>
          <w:szCs w:val="24"/>
        </w:rPr>
        <w:t xml:space="preserve">стартап проект</w:t>
      </w:r>
      <w:r>
        <w:rPr>
          <w:rFonts w:ascii="Arial" w:cs="Arial" w:eastAsia="Arial" w:hAnsi="Arial"/>
          <w:sz w:val="24"/>
          <w:szCs w:val="24"/>
        </w:rPr>
        <w:t xml:space="preserve"> - инновационный бизнес-проект, имеющий экономическую или социальную новизну, актуальность и практическую значимость, направленный на решение проблем, получение прибыли, создающий значительные улучшения;</w:t>
      </w:r>
    </w:p>
    <w:p>
      <w:pPr>
        <w:spacing w:after="120"/>
        <w:jc w:val="both"/>
      </w:pPr>
      <w:r>
        <w:rPr>
          <w:rFonts w:ascii="Arial" w:cs="Arial" w:eastAsia="Arial" w:hAnsi="Arial"/>
          <w:sz w:val="24"/>
          <w:szCs w:val="24"/>
        </w:rPr>
        <w:t xml:space="preserve">13) </w:t>
      </w:r>
      <w:r>
        <w:rPr>
          <w:rFonts w:ascii="Arial" w:cs="Arial" w:eastAsia="Arial" w:hAnsi="Arial"/>
          <w:b/>
          <w:bCs/>
          <w:sz w:val="24"/>
          <w:szCs w:val="24"/>
        </w:rPr>
        <w:t xml:space="preserve">субъект предпринимательства</w:t>
      </w:r>
      <w:r>
        <w:rPr>
          <w:rFonts w:ascii="Arial" w:cs="Arial" w:eastAsia="Arial" w:hAnsi="Arial"/>
          <w:sz w:val="24"/>
          <w:szCs w:val="24"/>
        </w:rPr>
        <w:t xml:space="preserve"> - физические и юридические лица, зарегистрированные в установленном законодательством Кыргызской Республики порядке и осуществляющие на свой риск и под свою имущественную ответственность не запрещенную законодательством деятельность с целью извлечения прибыли независимо от их организационно-правовых форм и форм собственности.</w:t>
      </w:r>
    </w:p>
    <w:p>
      <w:pPr>
        <w:spacing w:after="120"/>
        <w:jc w:val="both"/>
      </w:pPr>
      <w:r>
        <w:rPr>
          <w:rFonts w:ascii="Arial" w:cs="Arial" w:eastAsia="Arial" w:hAnsi="Arial"/>
          <w:sz w:val="24"/>
          <w:szCs w:val="24"/>
        </w:rPr>
        <w:t xml:space="preserve">Глава 3. Цель и задача Фонда</w:t>
      </w:r>
    </w:p>
    <w:p>
      <w:pPr>
        <w:spacing w:after="120"/>
        <w:jc w:val="both"/>
      </w:pPr>
      <w:r>
        <w:rPr>
          <w:rFonts w:ascii="Arial" w:cs="Arial" w:eastAsia="Arial" w:hAnsi="Arial"/>
          <w:sz w:val="24"/>
          <w:szCs w:val="24"/>
        </w:rPr>
        <w:t xml:space="preserve">10. Целью Фонда является реализация программ социально-экономического развития областей, районов, городов и айылных аймаков, поддержка инициатив местного сообщества, органов местного самоуправления, государственных органов и финансирование экономических проектов субъектов предпринимательства, направленных на повышение уровня жизни граждан, создание условий для регионального экономического развития путем улучшения инфраструктуры территорий, повышения качества оказываемых услуг и создания рабочих мест в регионах.</w:t>
      </w:r>
    </w:p>
    <w:p>
      <w:pPr>
        <w:spacing w:after="120"/>
        <w:jc w:val="both"/>
      </w:pPr>
      <w:r>
        <w:rPr>
          <w:rFonts w:ascii="Arial" w:cs="Arial" w:eastAsia="Arial" w:hAnsi="Arial"/>
          <w:sz w:val="24"/>
          <w:szCs w:val="24"/>
        </w:rPr>
        <w:t xml:space="preserve">11. Задачей Фонда является обеспечение эффективного использования финансовых средств Фонда в соответствии с приоритетами программ социально-экономического развития областей, районов, городов и айылных аймаков.</w:t>
      </w:r>
    </w:p>
    <w:p>
      <w:pPr>
        <w:spacing w:after="120"/>
        <w:jc w:val="both"/>
      </w:pPr>
      <w:r>
        <w:rPr>
          <w:rFonts w:ascii="Arial" w:cs="Arial" w:eastAsia="Arial" w:hAnsi="Arial"/>
          <w:sz w:val="24"/>
          <w:szCs w:val="24"/>
        </w:rPr>
        <w:t xml:space="preserve">12. Средства Фонда в бюджетном и специальном счетах направляются на финансирование социальных, инфраструктурных и экономических проектов, в том числе на:</w:t>
      </w:r>
    </w:p>
    <w:p>
      <w:pPr>
        <w:spacing w:after="120"/>
        <w:jc w:val="both"/>
      </w:pPr>
      <w:r>
        <w:rPr>
          <w:rFonts w:ascii="Arial" w:cs="Arial" w:eastAsia="Arial" w:hAnsi="Arial"/>
          <w:sz w:val="24"/>
          <w:szCs w:val="24"/>
        </w:rPr>
        <w:t xml:space="preserve">- предоставление финансовых средств одному из коммерческих банков Кыргызской Республики со 100% государственной долей в капитале или со значительной долей участия в капитале органов государственной власти Кыргызской Республики (далее - Банк) для последующего кредитования субъектов предпринимательства на основе срочности, платности и возвратности;</w:t>
      </w:r>
    </w:p>
    <w:p>
      <w:pPr>
        <w:spacing w:after="120"/>
        <w:jc w:val="both"/>
      </w:pPr>
      <w:r>
        <w:rPr>
          <w:rFonts w:ascii="Arial" w:cs="Arial" w:eastAsia="Arial" w:hAnsi="Arial"/>
          <w:sz w:val="24"/>
          <w:szCs w:val="24"/>
        </w:rPr>
        <w:t xml:space="preserve">- реализацию экономических проектов участников Национального экономического проекта "Одно село - один продукт";</w:t>
      </w:r>
    </w:p>
    <w:p>
      <w:pPr>
        <w:spacing w:after="120"/>
        <w:jc w:val="both"/>
      </w:pPr>
      <w:r>
        <w:rPr>
          <w:rFonts w:ascii="Arial" w:cs="Arial" w:eastAsia="Arial" w:hAnsi="Arial"/>
          <w:sz w:val="24"/>
          <w:szCs w:val="24"/>
        </w:rPr>
        <w:t xml:space="preserve">- финансирование инфраструктурных проектов, направленных на создание условий для развития предпринимательства и улучшение инвестиционной среды;</w:t>
      </w:r>
    </w:p>
    <w:p>
      <w:pPr>
        <w:spacing w:after="120"/>
        <w:jc w:val="both"/>
      </w:pPr>
      <w:r>
        <w:rPr>
          <w:rFonts w:ascii="Arial" w:cs="Arial" w:eastAsia="Arial" w:hAnsi="Arial"/>
          <w:sz w:val="24"/>
          <w:szCs w:val="24"/>
        </w:rPr>
        <w:t xml:space="preserve">- разработку проектно-сметной документации и другой технической документации экономических проектов;</w:t>
      </w:r>
    </w:p>
    <w:p>
      <w:pPr>
        <w:spacing w:after="120"/>
        <w:jc w:val="both"/>
      </w:pPr>
      <w:r>
        <w:rPr>
          <w:rFonts w:ascii="Arial" w:cs="Arial" w:eastAsia="Arial" w:hAnsi="Arial"/>
          <w:sz w:val="24"/>
          <w:szCs w:val="24"/>
        </w:rPr>
        <w:t xml:space="preserve">- финансирование проектов по строительству, ремонту и укреплению материально-технической базы объектов в сфере здравоохранения, образования, социальной защиты, культуры и спорта;</w:t>
      </w:r>
    </w:p>
    <w:p>
      <w:pPr>
        <w:spacing w:after="120"/>
        <w:jc w:val="both"/>
      </w:pPr>
      <w:r>
        <w:rPr>
          <w:rFonts w:ascii="Arial" w:cs="Arial" w:eastAsia="Arial" w:hAnsi="Arial"/>
          <w:sz w:val="24"/>
          <w:szCs w:val="24"/>
        </w:rPr>
        <w:t xml:space="preserve">- проведение мероприятий по обеспечению населения питьевым водоснабжением и системами водоотведения;</w:t>
      </w:r>
    </w:p>
    <w:p>
      <w:pPr>
        <w:spacing w:after="120"/>
        <w:jc w:val="both"/>
      </w:pPr>
      <w:r>
        <w:rPr>
          <w:rFonts w:ascii="Arial" w:cs="Arial" w:eastAsia="Arial" w:hAnsi="Arial"/>
          <w:sz w:val="24"/>
          <w:szCs w:val="24"/>
        </w:rPr>
        <w:t xml:space="preserve">- ремонт и восстановление ирригационных сетей, гидротехнических объектов, находящихся в государственной и муниципальной собственности;</w:t>
      </w:r>
    </w:p>
    <w:p>
      <w:pPr>
        <w:spacing w:after="120"/>
        <w:jc w:val="both"/>
      </w:pPr>
      <w:r>
        <w:rPr>
          <w:rFonts w:ascii="Arial" w:cs="Arial" w:eastAsia="Arial" w:hAnsi="Arial"/>
          <w:sz w:val="24"/>
          <w:szCs w:val="24"/>
        </w:rPr>
        <w:t xml:space="preserve">- финансирование проектов дорожного, жилищно-коммунального хозяйства;</w:t>
      </w:r>
    </w:p>
    <w:p>
      <w:pPr>
        <w:spacing w:after="120"/>
        <w:jc w:val="both"/>
      </w:pPr>
      <w:r>
        <w:rPr>
          <w:rFonts w:ascii="Arial" w:cs="Arial" w:eastAsia="Arial" w:hAnsi="Arial"/>
          <w:sz w:val="24"/>
          <w:szCs w:val="24"/>
        </w:rPr>
        <w:t xml:space="preserve">- приобретение специальной автотранспортной и иной техники для решения вопросов местного значения;</w:t>
      </w:r>
    </w:p>
    <w:p>
      <w:pPr>
        <w:spacing w:after="120"/>
        <w:jc w:val="both"/>
      </w:pPr>
      <w:r>
        <w:rPr>
          <w:rFonts w:ascii="Arial" w:cs="Arial" w:eastAsia="Arial" w:hAnsi="Arial"/>
          <w:sz w:val="24"/>
          <w:szCs w:val="24"/>
        </w:rPr>
        <w:t xml:space="preserve">- финансирование мероприятий по жилищному обеспечению граждан Кыргызской Республики путем предоставления финансовых средств открытому акционерному обществу "Государственная Ипотечная Компания" (далее - ОАО "ГИК") на основе срочности и возвратности, посредством заключения соответствующего финансового соглашения;</w:t>
      </w:r>
    </w:p>
    <w:p>
      <w:pPr>
        <w:spacing w:after="120"/>
        <w:jc w:val="both"/>
      </w:pPr>
      <w:r>
        <w:rPr>
          <w:rFonts w:ascii="Arial" w:cs="Arial" w:eastAsia="Arial" w:hAnsi="Arial"/>
          <w:sz w:val="24"/>
          <w:szCs w:val="24"/>
        </w:rPr>
        <w:t xml:space="preserve">- проведение мероприятий по благоустройству, озеленению и развитию инфраструктуры населенных пунктов;</w:t>
      </w:r>
    </w:p>
    <w:p>
      <w:pPr>
        <w:spacing w:after="120"/>
        <w:jc w:val="both"/>
      </w:pPr>
      <w:r>
        <w:rPr>
          <w:rFonts w:ascii="Arial" w:cs="Arial" w:eastAsia="Arial" w:hAnsi="Arial"/>
          <w:sz w:val="24"/>
          <w:szCs w:val="24"/>
        </w:rPr>
        <w:t xml:space="preserve">- разработку генеральных планов развития населенных пунктов, проектов детальной планировки, градостроительной документации населенных пунктов;</w:t>
      </w:r>
    </w:p>
    <w:p>
      <w:pPr>
        <w:spacing w:after="120"/>
        <w:jc w:val="both"/>
      </w:pPr>
      <w:r>
        <w:rPr>
          <w:rFonts w:ascii="Arial" w:cs="Arial" w:eastAsia="Arial" w:hAnsi="Arial"/>
          <w:sz w:val="24"/>
          <w:szCs w:val="24"/>
        </w:rPr>
        <w:t xml:space="preserve">- обеспечение мероприятий по экологической безопасности и охране окружающей среды, инициированных государственными органами и органами местного самоуправления, в том числе внедрение энергоэффективных, энерго- и водосберегающих технологий;</w:t>
      </w:r>
    </w:p>
    <w:p>
      <w:pPr>
        <w:spacing w:after="120"/>
        <w:jc w:val="both"/>
      </w:pPr>
      <w:r>
        <w:rPr>
          <w:rFonts w:ascii="Arial" w:cs="Arial" w:eastAsia="Arial" w:hAnsi="Arial"/>
          <w:sz w:val="24"/>
          <w:szCs w:val="24"/>
        </w:rPr>
        <w:t xml:space="preserve">- проведение мероприятий по предупреждению и ликвидации последствий чрезвычайных ситуаций, восстановлению гражданской инфраструктуры и на материальную поддержку (обеспечение питанием и жильем, приобретение горюче-смазочных материалов, товаров первой необходимости) пострадавшего населения не менее 3% прогнозируемого годового бюджета Фонда;</w:t>
      </w:r>
    </w:p>
    <w:p>
      <w:pPr>
        <w:spacing w:after="120"/>
        <w:jc w:val="both"/>
      </w:pPr>
      <w:r>
        <w:rPr>
          <w:rFonts w:ascii="Arial" w:cs="Arial" w:eastAsia="Arial" w:hAnsi="Arial"/>
          <w:sz w:val="24"/>
          <w:szCs w:val="24"/>
        </w:rPr>
        <w:t xml:space="preserve">- проведение мероприятий по предупреждению и ликвидации неблагоприятных эпидемиологических ситуаций;</w:t>
      </w:r>
    </w:p>
    <w:p>
      <w:pPr>
        <w:spacing w:after="120"/>
        <w:jc w:val="both"/>
      </w:pPr>
      <w:r>
        <w:rPr>
          <w:rFonts w:ascii="Arial" w:cs="Arial" w:eastAsia="Arial" w:hAnsi="Arial"/>
          <w:sz w:val="24"/>
          <w:szCs w:val="24"/>
        </w:rPr>
        <w:t xml:space="preserve">- перечисление финансовых средств на счет другого Фонда по решению Наблюдательного совета Фонда в целях реализации задач, определенных в настоящем пункте;</w:t>
      </w:r>
    </w:p>
    <w:p>
      <w:pPr>
        <w:spacing w:after="120"/>
        <w:jc w:val="both"/>
      </w:pPr>
      <w:r>
        <w:rPr>
          <w:rFonts w:ascii="Arial" w:cs="Arial" w:eastAsia="Arial" w:hAnsi="Arial"/>
          <w:sz w:val="24"/>
          <w:szCs w:val="24"/>
        </w:rPr>
        <w:t xml:space="preserve">- использование финансовых средств на иные цели по решению Кабинета Министров Кыргызской Республики, соответствующие целям и задачам Фонда.</w:t>
      </w:r>
    </w:p>
    <w:p>
      <w:pPr>
        <w:spacing w:after="120"/>
        <w:jc w:val="both"/>
      </w:pPr>
      <w:r>
        <w:rPr>
          <w:rFonts w:ascii="Arial" w:cs="Arial" w:eastAsia="Arial" w:hAnsi="Arial"/>
          <w:sz w:val="24"/>
          <w:szCs w:val="24"/>
        </w:rPr>
        <w:t xml:space="preserve">Из средств специального счета Фонда могут финансироваться мероприятия направленные на:</w:t>
      </w:r>
    </w:p>
    <w:p>
      <w:pPr>
        <w:spacing w:after="120"/>
        <w:jc w:val="both"/>
      </w:pPr>
      <w:r>
        <w:rPr>
          <w:rFonts w:ascii="Arial" w:cs="Arial" w:eastAsia="Arial" w:hAnsi="Arial"/>
          <w:sz w:val="24"/>
          <w:szCs w:val="24"/>
        </w:rPr>
        <w:t xml:space="preserve">- укрепление материально-технической базы и поддержку деятельности в сфере обороны, гражданской защиты, средств массовой информации, полномочных представителей Президента Кыргызской Республики в областях, местных государственных администраций и органов местного самоуправления;</w:t>
      </w:r>
    </w:p>
    <w:p>
      <w:pPr>
        <w:spacing w:after="120"/>
        <w:jc w:val="both"/>
      </w:pPr>
      <w:r>
        <w:rPr>
          <w:rFonts w:ascii="Arial" w:cs="Arial" w:eastAsia="Arial" w:hAnsi="Arial"/>
          <w:sz w:val="24"/>
          <w:szCs w:val="24"/>
        </w:rPr>
        <w:t xml:space="preserve">- поддержку одаренных детей и талантов для участия в мероприятиях (образовательных, культурных, музыкальных, спортивных), социально-уязвимых слоев населения, граждан, попавших в трудную жизненную ситуацию.</w:t>
      </w:r>
    </w:p>
    <w:p>
      <w:pPr>
        <w:spacing w:after="120"/>
        <w:jc w:val="both"/>
      </w:pPr>
      <w:r>
        <w:rPr>
          <w:rFonts w:ascii="Arial" w:cs="Arial" w:eastAsia="Arial" w:hAnsi="Arial"/>
          <w:sz w:val="24"/>
          <w:szCs w:val="24"/>
        </w:rPr>
        <w:t xml:space="preserve">Не допускается использование средств Фонда на проведение праздничных мероприятий, юбилеев и других мероприятий, не соответствующих целям и задачам Фонда.</w:t>
      </w:r>
    </w:p>
    <w:p>
      <w:pPr>
        <w:spacing w:after="120"/>
        <w:jc w:val="both"/>
      </w:pPr>
      <w:r>
        <w:rPr>
          <w:rFonts w:ascii="Arial" w:cs="Arial" w:eastAsia="Arial" w:hAnsi="Arial"/>
          <w:sz w:val="24"/>
          <w:szCs w:val="24"/>
        </w:rPr>
        <w:t xml:space="preserve">13. Проекты по жилищному обеспечению граждан Кыргызской Республики, планируемые к реализации в сотрудничестве с ОАО "ГИК", не являются инфраструктурными проектами и не требуют заполнения соответствующей заявки.</w:t>
      </w:r>
    </w:p>
    <w:p>
      <w:pPr>
        <w:spacing w:after="120"/>
        <w:jc w:val="both"/>
      </w:pPr>
      <w:r>
        <w:rPr>
          <w:rFonts w:ascii="Arial" w:cs="Arial" w:eastAsia="Arial" w:hAnsi="Arial"/>
          <w:sz w:val="24"/>
          <w:szCs w:val="24"/>
        </w:rPr>
        <w:t xml:space="preserve">При этом ОАО "ГИК" направляет письменное обращение на имя Фонда с приложением соответствующих документов для дальнейшего рассмотрения Наблюдательным советом Фонда.</w:t>
      </w:r>
    </w:p>
    <w:p>
      <w:pPr>
        <w:spacing w:after="120"/>
        <w:jc w:val="both"/>
      </w:pPr>
      <w:r>
        <w:rPr>
          <w:rFonts w:ascii="Arial" w:cs="Arial" w:eastAsia="Arial" w:hAnsi="Arial"/>
          <w:sz w:val="24"/>
          <w:szCs w:val="24"/>
        </w:rPr>
        <w:t xml:space="preserve">Все организационно-технические условия проекта по жилищному обеспечению граждан Кыргызской Республики, в том числе порядок финансирования проекта, сроки возврата средств Фонда, дополнительные стороны, участвующие в реализации проекта, определяются соответствующим финансовым соглашением.</w:t>
      </w:r>
    </w:p>
    <w:p>
      <w:pPr>
        <w:spacing w:after="120"/>
        <w:jc w:val="both"/>
      </w:pPr>
      <w:r>
        <w:rPr>
          <w:rFonts w:ascii="Arial" w:cs="Arial" w:eastAsia="Arial" w:hAnsi="Arial"/>
          <w:sz w:val="24"/>
          <w:szCs w:val="24"/>
        </w:rPr>
        <w:t xml:space="preserve">14. Прогнозируемый годовой бюджет Фонда на бюджетном и специальных счетах распределяется следующим образом: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1"/>
        <w:gridCol w:w="6512"/>
        <w:gridCol w:w="3145"/>
      </w:tblGrid>
      <w:tr>
        <w:tc>
          <w:tcPr>
            <w:tcW w:type="dxa" w:w="52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5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категорий расходов Фонда</w:t>
            </w:r>
          </w:p>
        </w:tc>
        <w:tc>
          <w:tcPr>
            <w:tcW w:type="dxa" w:w="31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Прогнозируемый годовой бюджет Фонда, %</w:t>
            </w:r>
          </w:p>
        </w:tc>
      </w:tr>
      <w:tr>
        <w:tc>
          <w:tcPr>
            <w:tcW w:type="dxa" w:w="5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Административные расходы Фонда</w:t>
            </w:r>
          </w:p>
        </w:tc>
        <w:tc>
          <w:tcPr>
            <w:tcW w:type="dxa" w:w="31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n</w:t>
            </w:r>
            <w:r>
              <w:rPr>
                <w:rFonts w:ascii="Arial" w:cs="Arial" w:eastAsia="Arial" w:hAnsi="Arial"/>
                <w:sz w:val="24"/>
                <w:szCs w:val="24"/>
              </w:rPr>
              <w:t xml:space="preserve">1</w:t>
            </w:r>
          </w:p>
        </w:tc>
      </w:tr>
      <w:tr>
        <w:tc>
          <w:tcPr>
            <w:tcW w:type="dxa" w:w="5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Экономические проекты (предоставление финансовых средств Фонда Банку)</w:t>
            </w:r>
          </w:p>
        </w:tc>
        <w:tc>
          <w:tcPr>
            <w:tcW w:type="dxa" w:w="31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n</w:t>
            </w:r>
            <w:r>
              <w:rPr>
                <w:rFonts w:ascii="Arial" w:cs="Arial" w:eastAsia="Arial" w:hAnsi="Arial"/>
                <w:sz w:val="24"/>
                <w:szCs w:val="24"/>
              </w:rPr>
              <w:t xml:space="preserve">2</w:t>
            </w:r>
          </w:p>
        </w:tc>
      </w:tr>
      <w:tr>
        <w:tc>
          <w:tcPr>
            <w:tcW w:type="dxa" w:w="5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Социальные и инфраструктурные проекты</w:t>
            </w:r>
          </w:p>
        </w:tc>
        <w:tc>
          <w:tcPr>
            <w:tcW w:type="dxa" w:w="31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n3</w:t>
            </w:r>
          </w:p>
        </w:tc>
      </w:tr>
      <w:tr>
        <w:tc>
          <w:tcPr>
            <w:tcW w:type="dxa" w:w="5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Проекты по жилищному обеспечению граждан Кыргызской Республики (предоставление финансовых средств Фонда ОАО "ГИК")</w:t>
            </w:r>
          </w:p>
        </w:tc>
        <w:tc>
          <w:tcPr>
            <w:tcW w:type="dxa" w:w="31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n</w:t>
            </w:r>
            <w:r>
              <w:rPr>
                <w:rFonts w:ascii="Arial" w:cs="Arial" w:eastAsia="Arial" w:hAnsi="Arial"/>
                <w:sz w:val="24"/>
                <w:szCs w:val="24"/>
              </w:rPr>
              <w:t xml:space="preserve">4</w:t>
            </w:r>
          </w:p>
        </w:tc>
      </w:tr>
      <w:tr>
        <w:tc>
          <w:tcPr>
            <w:tcW w:type="dxa" w:w="5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Проекты по предупреждению и ликвидации чрезвычайных ситуаций</w:t>
            </w:r>
          </w:p>
        </w:tc>
        <w:tc>
          <w:tcPr>
            <w:tcW w:type="dxa" w:w="31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n</w:t>
            </w:r>
            <w:r>
              <w:rPr>
                <w:rFonts w:ascii="Arial" w:cs="Arial" w:eastAsia="Arial" w:hAnsi="Arial"/>
                <w:sz w:val="24"/>
                <w:szCs w:val="24"/>
              </w:rPr>
              <w:t xml:space="preserve">5 (не менее 3%)</w:t>
            </w:r>
          </w:p>
        </w:tc>
      </w:tr>
      <w:tr>
        <w:tc>
          <w:tcPr>
            <w:tcW w:type="dxa" w:w="5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31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n1</w:t>
            </w:r>
            <w:r>
              <w:rPr>
                <w:rFonts w:ascii="Arial" w:cs="Arial" w:eastAsia="Arial" w:hAnsi="Arial"/>
                <w:b/>
                <w:bCs/>
                <w:sz w:val="24"/>
                <w:szCs w:val="24"/>
              </w:rPr>
              <w:t xml:space="preserve"> + </w:t>
            </w:r>
            <w:r>
              <w:rPr>
                <w:rFonts w:ascii="Arial" w:cs="Arial" w:eastAsia="Arial" w:hAnsi="Arial"/>
                <w:b/>
                <w:bCs/>
                <w:sz w:val="24"/>
                <w:szCs w:val="24"/>
              </w:rPr>
              <w:t xml:space="preserve">n</w:t>
            </w:r>
            <w:r>
              <w:rPr>
                <w:rFonts w:ascii="Arial" w:cs="Arial" w:eastAsia="Arial" w:hAnsi="Arial"/>
                <w:b/>
                <w:bCs/>
                <w:sz w:val="24"/>
                <w:szCs w:val="24"/>
              </w:rPr>
              <w:t xml:space="preserve">2 + </w:t>
            </w:r>
            <w:r>
              <w:rPr>
                <w:rFonts w:ascii="Arial" w:cs="Arial" w:eastAsia="Arial" w:hAnsi="Arial"/>
                <w:b/>
                <w:bCs/>
                <w:sz w:val="24"/>
                <w:szCs w:val="24"/>
              </w:rPr>
              <w:t xml:space="preserve">n3</w:t>
            </w:r>
            <w:r>
              <w:rPr>
                <w:rFonts w:ascii="Arial" w:cs="Arial" w:eastAsia="Arial" w:hAnsi="Arial"/>
                <w:b/>
                <w:bCs/>
                <w:sz w:val="24"/>
                <w:szCs w:val="24"/>
              </w:rPr>
              <w:t xml:space="preserve"> + </w:t>
            </w:r>
            <w:r>
              <w:rPr>
                <w:rFonts w:ascii="Arial" w:cs="Arial" w:eastAsia="Arial" w:hAnsi="Arial"/>
                <w:b/>
                <w:bCs/>
                <w:sz w:val="24"/>
                <w:szCs w:val="24"/>
              </w:rPr>
              <w:t xml:space="preserve">n</w:t>
            </w:r>
            <w:r>
              <w:rPr>
                <w:rFonts w:ascii="Arial" w:cs="Arial" w:eastAsia="Arial" w:hAnsi="Arial"/>
                <w:b/>
                <w:bCs/>
                <w:sz w:val="24"/>
                <w:szCs w:val="24"/>
              </w:rPr>
              <w:t xml:space="preserve">4 + </w:t>
            </w:r>
            <w:r>
              <w:rPr>
                <w:rFonts w:ascii="Arial" w:cs="Arial" w:eastAsia="Arial" w:hAnsi="Arial"/>
                <w:b/>
                <w:bCs/>
                <w:sz w:val="24"/>
                <w:szCs w:val="24"/>
              </w:rPr>
              <w:t xml:space="preserve">n</w:t>
            </w:r>
            <w:r>
              <w:rPr>
                <w:rFonts w:ascii="Arial" w:cs="Arial" w:eastAsia="Arial" w:hAnsi="Arial"/>
                <w:b/>
                <w:bCs/>
                <w:sz w:val="24"/>
                <w:szCs w:val="24"/>
              </w:rPr>
              <w:t xml:space="preserve">5 = (100%)</w:t>
            </w:r>
          </w:p>
        </w:tc>
      </w:tr>
    </w:tbl>
    <w:p>
      <w:pPr>
        <w:spacing w:after="120"/>
        <w:jc w:val="both"/>
      </w:pPr>
      <w:r>
        <w:rPr>
          <w:rFonts w:ascii="Arial" w:cs="Arial" w:eastAsia="Arial" w:hAnsi="Arial"/>
          <w:sz w:val="24"/>
          <w:szCs w:val="24"/>
        </w:rPr>
        <w:t xml:space="preserve"/>
      </w:r>
    </w:p>
    <w:p>
      <w:pPr>
        <w:spacing w:after="120" w:before="120"/>
        <w:jc w:val="both"/>
      </w:pPr>
      <w:r>
        <w:rPr>
          <w:rFonts w:ascii="Arial" w:cs="Arial" w:eastAsia="Arial" w:hAnsi="Arial"/>
          <w:sz w:val="24"/>
          <w:szCs w:val="24"/>
        </w:rPr>
        <w:t xml:space="preserve">По каждой категории расходов фонда процент от общей суммы прогнозируемого годового бюджета Фонда определяется и утверждается решением Наблюдательного совета Фонда не позднее 30 января текущего года.</w:t>
      </w:r>
    </w:p>
    <w:p>
      <w:pPr>
        <w:spacing w:after="120"/>
        <w:jc w:val="both"/>
      </w:pPr>
      <w:r>
        <w:rPr>
          <w:rFonts w:ascii="Arial" w:cs="Arial" w:eastAsia="Arial" w:hAnsi="Arial"/>
          <w:sz w:val="24"/>
          <w:szCs w:val="24"/>
        </w:rPr>
        <w:t xml:space="preserve">Глава 4. Органы управления Фонда</w:t>
      </w:r>
    </w:p>
    <w:p>
      <w:pPr>
        <w:spacing w:after="120"/>
        <w:jc w:val="both"/>
      </w:pPr>
      <w:r>
        <w:rPr>
          <w:rFonts w:ascii="Arial" w:cs="Arial" w:eastAsia="Arial" w:hAnsi="Arial"/>
          <w:sz w:val="24"/>
          <w:szCs w:val="24"/>
        </w:rPr>
        <w:t xml:space="preserve">15. Органами управления Фонда являются:</w:t>
      </w:r>
    </w:p>
    <w:p>
      <w:pPr>
        <w:spacing w:after="120"/>
        <w:jc w:val="both"/>
      </w:pPr>
      <w:r>
        <w:rPr>
          <w:rFonts w:ascii="Arial" w:cs="Arial" w:eastAsia="Arial" w:hAnsi="Arial"/>
          <w:sz w:val="24"/>
          <w:szCs w:val="24"/>
        </w:rPr>
        <w:t xml:space="preserve">1) высший орган управления - Наблюдательный совет Фонда;</w:t>
      </w:r>
    </w:p>
    <w:p>
      <w:pPr>
        <w:spacing w:after="120"/>
        <w:jc w:val="both"/>
      </w:pPr>
      <w:r>
        <w:rPr>
          <w:rFonts w:ascii="Arial" w:cs="Arial" w:eastAsia="Arial" w:hAnsi="Arial"/>
          <w:sz w:val="24"/>
          <w:szCs w:val="24"/>
        </w:rPr>
        <w:t xml:space="preserve">2) исполнительный орган - дирекция Фонда.</w:t>
      </w:r>
    </w:p>
    <w:p>
      <w:pPr>
        <w:spacing w:after="120"/>
        <w:jc w:val="both"/>
      </w:pPr>
      <w:r>
        <w:rPr>
          <w:rFonts w:ascii="Arial" w:cs="Arial" w:eastAsia="Arial" w:hAnsi="Arial"/>
          <w:sz w:val="24"/>
          <w:szCs w:val="24"/>
        </w:rPr>
        <w:t xml:space="preserve">§ 1. Полномочия Наблюдательного совета Фонда</w:t>
      </w:r>
    </w:p>
    <w:p>
      <w:pPr>
        <w:spacing w:after="120"/>
        <w:jc w:val="both"/>
      </w:pPr>
      <w:r>
        <w:rPr>
          <w:rFonts w:ascii="Arial" w:cs="Arial" w:eastAsia="Arial" w:hAnsi="Arial"/>
          <w:sz w:val="24"/>
          <w:szCs w:val="24"/>
        </w:rPr>
        <w:t xml:space="preserve">16. Полномочия Наблюдательного совета Фонда:</w:t>
      </w:r>
    </w:p>
    <w:p>
      <w:pPr>
        <w:spacing w:after="120"/>
        <w:jc w:val="both"/>
      </w:pPr>
      <w:r>
        <w:rPr>
          <w:rFonts w:ascii="Arial" w:cs="Arial" w:eastAsia="Arial" w:hAnsi="Arial"/>
          <w:sz w:val="24"/>
          <w:szCs w:val="24"/>
        </w:rPr>
        <w:t xml:space="preserve">1) рассмотрение и утверждение основных направлений и приоритетов деятельности Фонда;</w:t>
      </w:r>
    </w:p>
    <w:p>
      <w:pPr>
        <w:spacing w:after="120"/>
        <w:jc w:val="both"/>
      </w:pPr>
      <w:r>
        <w:rPr>
          <w:rFonts w:ascii="Arial" w:cs="Arial" w:eastAsia="Arial" w:hAnsi="Arial"/>
          <w:sz w:val="24"/>
          <w:szCs w:val="24"/>
        </w:rPr>
        <w:t xml:space="preserve">2) отбор и утверждение проектов;</w:t>
      </w:r>
    </w:p>
    <w:p>
      <w:pPr>
        <w:spacing w:after="120"/>
        <w:jc w:val="both"/>
      </w:pPr>
      <w:r>
        <w:rPr>
          <w:rFonts w:ascii="Arial" w:cs="Arial" w:eastAsia="Arial" w:hAnsi="Arial"/>
          <w:sz w:val="24"/>
          <w:szCs w:val="24"/>
        </w:rPr>
        <w:t xml:space="preserve">3) утверждение объема финансирования за счет бюджетных средств, средств специального счета на текущий год и прогнозных показателей на последующие годы;</w:t>
      </w:r>
    </w:p>
    <w:p>
      <w:pPr>
        <w:spacing w:after="120"/>
        <w:jc w:val="both"/>
      </w:pPr>
      <w:r>
        <w:rPr>
          <w:rFonts w:ascii="Arial" w:cs="Arial" w:eastAsia="Arial" w:hAnsi="Arial"/>
          <w:sz w:val="24"/>
          <w:szCs w:val="24"/>
        </w:rPr>
        <w:t xml:space="preserve">4) принятие решения о заключении или расторжении финансового соглашения между Фондом и Банком на право получения денежных средств Фонда для финансирования субъектов предпринимательства;</w:t>
      </w:r>
    </w:p>
    <w:p>
      <w:pPr>
        <w:spacing w:after="120"/>
        <w:jc w:val="both"/>
      </w:pPr>
      <w:r>
        <w:rPr>
          <w:rFonts w:ascii="Arial" w:cs="Arial" w:eastAsia="Arial" w:hAnsi="Arial"/>
          <w:sz w:val="24"/>
          <w:szCs w:val="24"/>
        </w:rPr>
        <w:t xml:space="preserve">5) утверждение объема финансирования для предоставления финансовых средств Банку в отчетном году;</w:t>
      </w:r>
    </w:p>
    <w:p>
      <w:pPr>
        <w:spacing w:after="120"/>
        <w:jc w:val="both"/>
      </w:pPr>
      <w:r>
        <w:rPr>
          <w:rFonts w:ascii="Arial" w:cs="Arial" w:eastAsia="Arial" w:hAnsi="Arial"/>
          <w:sz w:val="24"/>
          <w:szCs w:val="24"/>
        </w:rPr>
        <w:t xml:space="preserve">6) принятие решения о заключении или расторжении финансового соглашения между Фондом и ОАО "ГИК" на право получения денежных средств Фонда для реализации проектов по жилищному обеспечению граждан Кыргызской Республики;</w:t>
      </w:r>
    </w:p>
    <w:p>
      <w:pPr>
        <w:spacing w:after="120"/>
        <w:jc w:val="both"/>
      </w:pPr>
      <w:r>
        <w:rPr>
          <w:rFonts w:ascii="Arial" w:cs="Arial" w:eastAsia="Arial" w:hAnsi="Arial"/>
          <w:sz w:val="24"/>
          <w:szCs w:val="24"/>
        </w:rPr>
        <w:t xml:space="preserve">7) заслушивание отчета дирекции Фонда об использовании средств, направленных на финансирование экономических проектов;</w:t>
      </w:r>
    </w:p>
    <w:p>
      <w:pPr>
        <w:spacing w:after="120"/>
        <w:jc w:val="both"/>
      </w:pPr>
      <w:r>
        <w:rPr>
          <w:rFonts w:ascii="Arial" w:cs="Arial" w:eastAsia="Arial" w:hAnsi="Arial"/>
          <w:sz w:val="24"/>
          <w:szCs w:val="24"/>
        </w:rPr>
        <w:t xml:space="preserve">8) принятие решения о проведении аудита использования средств Фонда;</w:t>
      </w:r>
    </w:p>
    <w:p>
      <w:pPr>
        <w:spacing w:after="120"/>
        <w:jc w:val="both"/>
      </w:pPr>
      <w:r>
        <w:rPr>
          <w:rFonts w:ascii="Arial" w:cs="Arial" w:eastAsia="Arial" w:hAnsi="Arial"/>
          <w:sz w:val="24"/>
          <w:szCs w:val="24"/>
        </w:rPr>
        <w:t xml:space="preserve">9) утверждение порядка подачи, рассмотрения и принятия решений по претензиям участников конкурсного отбора;</w:t>
      </w:r>
    </w:p>
    <w:p>
      <w:pPr>
        <w:spacing w:after="120"/>
        <w:jc w:val="both"/>
      </w:pPr>
      <w:r>
        <w:rPr>
          <w:rFonts w:ascii="Arial" w:cs="Arial" w:eastAsia="Arial" w:hAnsi="Arial"/>
          <w:sz w:val="24"/>
          <w:szCs w:val="24"/>
        </w:rPr>
        <w:t xml:space="preserve">10) рассмотрение жалоб и заявлений участников конкурсного отбора;</w:t>
      </w:r>
    </w:p>
    <w:p>
      <w:pPr>
        <w:spacing w:after="120"/>
        <w:jc w:val="both"/>
      </w:pPr>
      <w:r>
        <w:rPr>
          <w:rFonts w:ascii="Arial" w:cs="Arial" w:eastAsia="Arial" w:hAnsi="Arial"/>
          <w:sz w:val="24"/>
          <w:szCs w:val="24"/>
        </w:rPr>
        <w:t xml:space="preserve">11) утверждение сметы расходов Фонда по бюджетным средствам и средствам специального счета на каждый финансовый год с учетом ожидаемого поступления средств;</w:t>
      </w:r>
    </w:p>
    <w:p>
      <w:pPr>
        <w:spacing w:after="120"/>
        <w:jc w:val="both"/>
      </w:pPr>
      <w:r>
        <w:rPr>
          <w:rFonts w:ascii="Arial" w:cs="Arial" w:eastAsia="Arial" w:hAnsi="Arial"/>
          <w:sz w:val="24"/>
          <w:szCs w:val="24"/>
        </w:rPr>
        <w:t xml:space="preserve">12) утверждение штатного расписания и сметы расходов дирекции Фонда;</w:t>
      </w:r>
    </w:p>
    <w:p>
      <w:pPr>
        <w:spacing w:after="120"/>
        <w:jc w:val="both"/>
      </w:pPr>
      <w:r>
        <w:rPr>
          <w:rFonts w:ascii="Arial" w:cs="Arial" w:eastAsia="Arial" w:hAnsi="Arial"/>
          <w:sz w:val="24"/>
          <w:szCs w:val="24"/>
        </w:rPr>
        <w:t xml:space="preserve">13) утверждение методики проведения мониторинга и оценки эффективности деятельности Фонда;</w:t>
      </w:r>
    </w:p>
    <w:p>
      <w:pPr>
        <w:spacing w:after="120"/>
        <w:jc w:val="both"/>
      </w:pPr>
      <w:r>
        <w:rPr>
          <w:rFonts w:ascii="Arial" w:cs="Arial" w:eastAsia="Arial" w:hAnsi="Arial"/>
          <w:sz w:val="24"/>
          <w:szCs w:val="24"/>
        </w:rPr>
        <w:t xml:space="preserve">14) рассмотрение, утверждение состава группы для проведения мониторинга и оценки эффективности деятельности Фонда и заслушивание отчета мониторинговой группы;</w:t>
      </w:r>
    </w:p>
    <w:p>
      <w:pPr>
        <w:spacing w:after="120"/>
        <w:jc w:val="both"/>
      </w:pPr>
      <w:r>
        <w:rPr>
          <w:rFonts w:ascii="Arial" w:cs="Arial" w:eastAsia="Arial" w:hAnsi="Arial"/>
          <w:sz w:val="24"/>
          <w:szCs w:val="24"/>
        </w:rPr>
        <w:t xml:space="preserve">15) принятие решения по реализации проекта дирекцией Фонда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государственных закупках";</w:t>
      </w:r>
    </w:p>
    <w:p>
      <w:pPr>
        <w:spacing w:after="120"/>
        <w:jc w:val="both"/>
      </w:pPr>
      <w:r>
        <w:rPr>
          <w:rFonts w:ascii="Arial" w:cs="Arial" w:eastAsia="Arial" w:hAnsi="Arial"/>
          <w:sz w:val="24"/>
          <w:szCs w:val="24"/>
        </w:rPr>
        <w:t xml:space="preserve">16) утверждение квалификационных требований, предъявляемых сотрудникам Фонда, и проведение отбора кандидатуры на должность исполнительного директора Фонда на их основе;</w:t>
      </w:r>
    </w:p>
    <w:p>
      <w:pPr>
        <w:spacing w:after="120"/>
        <w:jc w:val="both"/>
      </w:pPr>
      <w:r>
        <w:rPr>
          <w:rFonts w:ascii="Arial" w:cs="Arial" w:eastAsia="Arial" w:hAnsi="Arial"/>
          <w:sz w:val="24"/>
          <w:szCs w:val="24"/>
        </w:rPr>
        <w:t xml:space="preserve">17) осуществление контроля за целевым использованием денежных средств Фонда;</w:t>
      </w:r>
    </w:p>
    <w:p>
      <w:pPr>
        <w:spacing w:after="120"/>
        <w:jc w:val="both"/>
      </w:pPr>
      <w:r>
        <w:rPr>
          <w:rFonts w:ascii="Arial" w:cs="Arial" w:eastAsia="Arial" w:hAnsi="Arial"/>
          <w:sz w:val="24"/>
          <w:szCs w:val="24"/>
        </w:rPr>
        <w:t xml:space="preserve">18) заслушивание и утверждение отчета дирекции Фонда об исполнении сметы расходов Фонда по бюджетным средствам и средствам специального счета Фонда, а также сметы расходов дирекции Фонда.</w:t>
      </w:r>
    </w:p>
    <w:p>
      <w:pPr>
        <w:spacing w:after="120"/>
        <w:jc w:val="both"/>
      </w:pPr>
      <w:r>
        <w:rPr>
          <w:rFonts w:ascii="Arial" w:cs="Arial" w:eastAsia="Arial" w:hAnsi="Arial"/>
          <w:sz w:val="24"/>
          <w:szCs w:val="24"/>
        </w:rPr>
        <w:t xml:space="preserve">17. Наблюдательный совет Фонда для осуществления возложенных на него полномочий имеет право:</w:t>
      </w:r>
    </w:p>
    <w:p>
      <w:pPr>
        <w:spacing w:after="120"/>
        <w:jc w:val="both"/>
      </w:pPr>
      <w:r>
        <w:rPr>
          <w:rFonts w:ascii="Arial" w:cs="Arial" w:eastAsia="Arial" w:hAnsi="Arial"/>
          <w:sz w:val="24"/>
          <w:szCs w:val="24"/>
        </w:rPr>
        <w:t xml:space="preserve">1) запрашивать необходимую для осуществления своей деятельности информацию у дирекции и мониторинговой группы Фонда;</w:t>
      </w:r>
    </w:p>
    <w:p>
      <w:pPr>
        <w:spacing w:after="120"/>
        <w:jc w:val="both"/>
      </w:pPr>
      <w:r>
        <w:rPr>
          <w:rFonts w:ascii="Arial" w:cs="Arial" w:eastAsia="Arial" w:hAnsi="Arial"/>
          <w:sz w:val="24"/>
          <w:szCs w:val="24"/>
        </w:rPr>
        <w:t xml:space="preserve">2) отправлять на доработку документы, представленные дирекцией и мониторинговой группой Фонда;</w:t>
      </w:r>
    </w:p>
    <w:p>
      <w:pPr>
        <w:spacing w:after="120"/>
        <w:jc w:val="both"/>
      </w:pPr>
      <w:r>
        <w:rPr>
          <w:rFonts w:ascii="Arial" w:cs="Arial" w:eastAsia="Arial" w:hAnsi="Arial"/>
          <w:sz w:val="24"/>
          <w:szCs w:val="24"/>
        </w:rPr>
        <w:t xml:space="preserve">3) организовывать и проводить консультации с экспертами и специалистами, техническими службами по вопросам, отнесенным к компетенции Наблюдательного совета Фонда;</w:t>
      </w:r>
    </w:p>
    <w:p>
      <w:pPr>
        <w:spacing w:after="120"/>
        <w:jc w:val="both"/>
      </w:pPr>
      <w:r>
        <w:rPr>
          <w:rFonts w:ascii="Arial" w:cs="Arial" w:eastAsia="Arial" w:hAnsi="Arial"/>
          <w:sz w:val="24"/>
          <w:szCs w:val="24"/>
        </w:rPr>
        <w:t xml:space="preserve">4) направлять представление учредителю Фонда о принятии мер в отношении исполнительного директора Фонда в случае неисполнения или ненадлежащего исполнения им своих функций;</w:t>
      </w:r>
    </w:p>
    <w:p>
      <w:pPr>
        <w:spacing w:after="120"/>
        <w:jc w:val="both"/>
      </w:pPr>
      <w:r>
        <w:rPr>
          <w:rFonts w:ascii="Arial" w:cs="Arial" w:eastAsia="Arial" w:hAnsi="Arial"/>
          <w:sz w:val="24"/>
          <w:szCs w:val="24"/>
        </w:rPr>
        <w:t xml:space="preserve">5) рекомендовать учредителю Фонда назначить на должность или освободить от должности исполнительного директора Фонда.</w:t>
      </w:r>
    </w:p>
    <w:p>
      <w:pPr>
        <w:spacing w:after="120"/>
        <w:jc w:val="both"/>
      </w:pPr>
      <w:r>
        <w:rPr>
          <w:rFonts w:ascii="Arial" w:cs="Arial" w:eastAsia="Arial" w:hAnsi="Arial"/>
          <w:sz w:val="24"/>
          <w:szCs w:val="24"/>
        </w:rPr>
        <w:t xml:space="preserve">§ 2. Организация деятельности Наблюдательного совета Фонда</w:t>
      </w:r>
    </w:p>
    <w:p>
      <w:pPr>
        <w:spacing w:after="120"/>
        <w:jc w:val="both"/>
      </w:pPr>
      <w:r>
        <w:rPr>
          <w:rFonts w:ascii="Arial" w:cs="Arial" w:eastAsia="Arial" w:hAnsi="Arial"/>
          <w:sz w:val="24"/>
          <w:szCs w:val="24"/>
        </w:rPr>
        <w:t xml:space="preserve">18. Члены Наблюдательного совета Фонда участвуют в его работе на общественных началах.</w:t>
      </w:r>
    </w:p>
    <w:p>
      <w:pPr>
        <w:spacing w:after="120"/>
        <w:jc w:val="both"/>
      </w:pPr>
      <w:r>
        <w:rPr>
          <w:rFonts w:ascii="Arial" w:cs="Arial" w:eastAsia="Arial" w:hAnsi="Arial"/>
          <w:sz w:val="24"/>
          <w:szCs w:val="24"/>
        </w:rPr>
        <w:t xml:space="preserve">19. Члены Наблюдательного совета Фонда участвуют в его заседаниях без права замены. В случае отсутствия члена Наблюдательного совета Фонда он имеет право представить свое мнение по рассматриваемым вопросам в письменной форме.</w:t>
      </w:r>
    </w:p>
    <w:p>
      <w:pPr>
        <w:spacing w:after="120"/>
        <w:jc w:val="both"/>
      </w:pPr>
      <w:r>
        <w:rPr>
          <w:rFonts w:ascii="Arial" w:cs="Arial" w:eastAsia="Arial" w:hAnsi="Arial"/>
          <w:sz w:val="24"/>
          <w:szCs w:val="24"/>
        </w:rPr>
        <w:t xml:space="preserve">20. Членство представителя органа/организации, включенного в состав Наблюдательного совета Фонда, подтверждается официальным письмом соответствующего органа/организации, с указанием его фамилии, имени, отчества, должности, а также причины в случае смены представителя.</w:t>
      </w:r>
    </w:p>
    <w:p>
      <w:pPr>
        <w:spacing w:after="120"/>
        <w:jc w:val="both"/>
      </w:pPr>
      <w:r>
        <w:rPr>
          <w:rFonts w:ascii="Arial" w:cs="Arial" w:eastAsia="Arial" w:hAnsi="Arial"/>
          <w:sz w:val="24"/>
          <w:szCs w:val="24"/>
        </w:rPr>
        <w:t xml:space="preserve">21. Число членов Наблюдательного совета Фонда должно составлять не менее 9 человек.</w:t>
      </w:r>
    </w:p>
    <w:p>
      <w:pPr>
        <w:spacing w:after="120"/>
        <w:jc w:val="both"/>
      </w:pPr>
      <w:r>
        <w:rPr>
          <w:rFonts w:ascii="Arial" w:cs="Arial" w:eastAsia="Arial" w:hAnsi="Arial"/>
          <w:sz w:val="24"/>
          <w:szCs w:val="24"/>
        </w:rPr>
        <w:t xml:space="preserve">22. В состав Наблюдательного совета Фонда развития области входят:</w:t>
      </w:r>
    </w:p>
    <w:p>
      <w:pPr>
        <w:spacing w:after="120"/>
        <w:jc w:val="both"/>
      </w:pPr>
      <w:r>
        <w:rPr>
          <w:rFonts w:ascii="Arial" w:cs="Arial" w:eastAsia="Arial" w:hAnsi="Arial"/>
          <w:sz w:val="24"/>
          <w:szCs w:val="24"/>
        </w:rPr>
        <w:t xml:space="preserve">1) полномочный представитель Президента Кыргызской Республики в области или его первый заместитель на основании распоряжения полномочного представителя Президента Кыргызской Республики в области;</w:t>
      </w:r>
    </w:p>
    <w:p>
      <w:pPr>
        <w:spacing w:after="120"/>
        <w:jc w:val="both"/>
      </w:pPr>
      <w:r>
        <w:rPr>
          <w:rFonts w:ascii="Arial" w:cs="Arial" w:eastAsia="Arial" w:hAnsi="Arial"/>
          <w:sz w:val="24"/>
          <w:szCs w:val="24"/>
        </w:rPr>
        <w:t xml:space="preserve">2) представитель территориального подразделения уполномоченного государственного органа по прогнозированию и исполнению бюджета;</w:t>
      </w:r>
    </w:p>
    <w:p>
      <w:pPr>
        <w:spacing w:after="120"/>
        <w:jc w:val="both"/>
      </w:pPr>
      <w:r>
        <w:rPr>
          <w:rFonts w:ascii="Arial" w:cs="Arial" w:eastAsia="Arial" w:hAnsi="Arial"/>
          <w:sz w:val="24"/>
          <w:szCs w:val="24"/>
        </w:rPr>
        <w:t xml:space="preserve">3) представитель территориального подразделения уполномоченного государственного органа по экономическому прогнозированию;</w:t>
      </w:r>
    </w:p>
    <w:p>
      <w:pPr>
        <w:spacing w:after="120"/>
        <w:jc w:val="both"/>
      </w:pPr>
      <w:r>
        <w:rPr>
          <w:rFonts w:ascii="Arial" w:cs="Arial" w:eastAsia="Arial" w:hAnsi="Arial"/>
          <w:sz w:val="24"/>
          <w:szCs w:val="24"/>
        </w:rPr>
        <w:t xml:space="preserve">4) представитель территориального подразделения уполномоченного государственного органа в области содействия занятости населения;</w:t>
      </w:r>
    </w:p>
    <w:p>
      <w:pPr>
        <w:spacing w:after="120"/>
        <w:jc w:val="both"/>
      </w:pPr>
      <w:r>
        <w:rPr>
          <w:rFonts w:ascii="Arial" w:cs="Arial" w:eastAsia="Arial" w:hAnsi="Arial"/>
          <w:sz w:val="24"/>
          <w:szCs w:val="24"/>
        </w:rPr>
        <w:t xml:space="preserve">5) представитель территориального подразделения уполномоченного государственного органа в области охраны окружающей среды;</w:t>
      </w:r>
    </w:p>
    <w:p>
      <w:pPr>
        <w:spacing w:after="120"/>
        <w:jc w:val="both"/>
      </w:pPr>
      <w:r>
        <w:rPr>
          <w:rFonts w:ascii="Arial" w:cs="Arial" w:eastAsia="Arial" w:hAnsi="Arial"/>
          <w:sz w:val="24"/>
          <w:szCs w:val="24"/>
        </w:rPr>
        <w:t xml:space="preserve">6) представитель территориального подразделения уполномоченного государственного органа по разработке и реализации политики в сфере архитектурно-строительной деятельности;</w:t>
      </w:r>
    </w:p>
    <w:p>
      <w:pPr>
        <w:spacing w:after="120"/>
        <w:jc w:val="both"/>
      </w:pPr>
      <w:r>
        <w:rPr>
          <w:rFonts w:ascii="Arial" w:cs="Arial" w:eastAsia="Arial" w:hAnsi="Arial"/>
          <w:sz w:val="24"/>
          <w:szCs w:val="24"/>
        </w:rPr>
        <w:t xml:space="preserve">7) представители коммерческих и некоммерческих организаций, включенные в состав Наблюдательного совета Фонда по предложению полномочного представителя Президента Кыргызской Республики в области, в количестве до 30% от общего числа членов Наблюдательного совета Фонда;</w:t>
      </w:r>
    </w:p>
    <w:p>
      <w:pPr>
        <w:spacing w:after="120"/>
        <w:jc w:val="both"/>
      </w:pPr>
      <w:r>
        <w:rPr>
          <w:rFonts w:ascii="Arial" w:cs="Arial" w:eastAsia="Arial" w:hAnsi="Arial"/>
          <w:sz w:val="24"/>
          <w:szCs w:val="24"/>
        </w:rPr>
        <w:t xml:space="preserve">8) председатели местных кенешей айылных аймаков и городов районного значения в количестве 30% от общего состава членов Наблюдательного совета Фонда.</w:t>
      </w:r>
    </w:p>
    <w:p>
      <w:pPr>
        <w:spacing w:after="120"/>
        <w:jc w:val="both"/>
      </w:pPr>
      <w:r>
        <w:rPr>
          <w:rFonts w:ascii="Arial" w:cs="Arial" w:eastAsia="Arial" w:hAnsi="Arial"/>
          <w:sz w:val="24"/>
          <w:szCs w:val="24"/>
        </w:rPr>
        <w:t xml:space="preserve">23. В состав Наблюдательного совета Фонда развития района входят:</w:t>
      </w:r>
    </w:p>
    <w:p>
      <w:pPr>
        <w:spacing w:after="120"/>
        <w:jc w:val="both"/>
      </w:pPr>
      <w:r>
        <w:rPr>
          <w:rFonts w:ascii="Arial" w:cs="Arial" w:eastAsia="Arial" w:hAnsi="Arial"/>
          <w:sz w:val="24"/>
          <w:szCs w:val="24"/>
        </w:rPr>
        <w:t xml:space="preserve">1) глава местной государственной администрации или его первый заместитель на основании решения главы местной государственной администрации;</w:t>
      </w:r>
    </w:p>
    <w:p>
      <w:pPr>
        <w:spacing w:after="120"/>
        <w:jc w:val="both"/>
      </w:pPr>
      <w:r>
        <w:rPr>
          <w:rFonts w:ascii="Arial" w:cs="Arial" w:eastAsia="Arial" w:hAnsi="Arial"/>
          <w:sz w:val="24"/>
          <w:szCs w:val="24"/>
        </w:rPr>
        <w:t xml:space="preserve">2) представитель территориального подразделения уполномоченного государственного органа по прогнозированию и исполнению бюджета;</w:t>
      </w:r>
    </w:p>
    <w:p>
      <w:pPr>
        <w:spacing w:after="120"/>
        <w:jc w:val="both"/>
      </w:pPr>
      <w:r>
        <w:rPr>
          <w:rFonts w:ascii="Arial" w:cs="Arial" w:eastAsia="Arial" w:hAnsi="Arial"/>
          <w:sz w:val="24"/>
          <w:szCs w:val="24"/>
        </w:rPr>
        <w:t xml:space="preserve">3) представитель структурного подразделения местной государственной администрации района в сфере экономики;</w:t>
      </w:r>
    </w:p>
    <w:p>
      <w:pPr>
        <w:spacing w:after="120"/>
        <w:jc w:val="both"/>
      </w:pPr>
      <w:r>
        <w:rPr>
          <w:rFonts w:ascii="Arial" w:cs="Arial" w:eastAsia="Arial" w:hAnsi="Arial"/>
          <w:sz w:val="24"/>
          <w:szCs w:val="24"/>
        </w:rPr>
        <w:t xml:space="preserve">4) представитель территориального подразделения уполномоченного государственного органа в области содействия занятости населения;</w:t>
      </w:r>
    </w:p>
    <w:p>
      <w:pPr>
        <w:spacing w:after="120"/>
        <w:jc w:val="both"/>
      </w:pPr>
      <w:r>
        <w:rPr>
          <w:rFonts w:ascii="Arial" w:cs="Arial" w:eastAsia="Arial" w:hAnsi="Arial"/>
          <w:sz w:val="24"/>
          <w:szCs w:val="24"/>
        </w:rPr>
        <w:t xml:space="preserve">5) представитель территориального подразделения уполномоченного государственного органа в сфере агропромышленного комплекса;</w:t>
      </w:r>
    </w:p>
    <w:p>
      <w:pPr>
        <w:spacing w:after="120"/>
        <w:jc w:val="both"/>
      </w:pPr>
      <w:r>
        <w:rPr>
          <w:rFonts w:ascii="Arial" w:cs="Arial" w:eastAsia="Arial" w:hAnsi="Arial"/>
          <w:sz w:val="24"/>
          <w:szCs w:val="24"/>
        </w:rPr>
        <w:t xml:space="preserve">6) представитель территориального подразделения уполномоченного государственного органа по разработке и реализации политики в сфере архитектурно-строительной деятельности;</w:t>
      </w:r>
    </w:p>
    <w:p>
      <w:pPr>
        <w:spacing w:after="120"/>
        <w:jc w:val="both"/>
      </w:pPr>
      <w:r>
        <w:rPr>
          <w:rFonts w:ascii="Arial" w:cs="Arial" w:eastAsia="Arial" w:hAnsi="Arial"/>
          <w:sz w:val="24"/>
          <w:szCs w:val="24"/>
        </w:rPr>
        <w:t xml:space="preserve">7) представители коммерческих и некоммерческих организаций, включенные в состав Наблюдательного совета Фонда по предложению местной государственной администрации, в количестве до 30% от общего числа членов Наблюдательного совета Фонда;</w:t>
      </w:r>
    </w:p>
    <w:p>
      <w:pPr>
        <w:spacing w:after="120"/>
        <w:jc w:val="both"/>
      </w:pPr>
      <w:r>
        <w:rPr>
          <w:rFonts w:ascii="Arial" w:cs="Arial" w:eastAsia="Arial" w:hAnsi="Arial"/>
          <w:sz w:val="24"/>
          <w:szCs w:val="24"/>
        </w:rPr>
        <w:t xml:space="preserve">8) председатели местных кенешей айылных аймаков и городов районного значения в количестве 30% от общего состава членов Наблюдательного совета Фонда.</w:t>
      </w:r>
    </w:p>
    <w:p>
      <w:pPr>
        <w:spacing w:after="120"/>
        <w:jc w:val="both"/>
      </w:pPr>
      <w:r>
        <w:rPr>
          <w:rFonts w:ascii="Arial" w:cs="Arial" w:eastAsia="Arial" w:hAnsi="Arial"/>
          <w:sz w:val="24"/>
          <w:szCs w:val="24"/>
        </w:rPr>
        <w:t xml:space="preserve">24. Председателем Наблюдательного совета Фонда развития области является полномочный представитель Президента Кыргызской Республики в области или его первый заместитель на основании решения полномочного представителя Президента Кыргызской Республики в области.</w:t>
      </w:r>
    </w:p>
    <w:p>
      <w:pPr>
        <w:spacing w:after="120"/>
        <w:jc w:val="both"/>
      </w:pPr>
      <w:r>
        <w:rPr>
          <w:rFonts w:ascii="Arial" w:cs="Arial" w:eastAsia="Arial" w:hAnsi="Arial"/>
          <w:sz w:val="24"/>
          <w:szCs w:val="24"/>
        </w:rPr>
        <w:t xml:space="preserve">25. Председателем Наблюдательного совета Фонда развития района является глава местной государственной администрации или его первый заместитель на основании решения главы местной государственной администрации. Заместителем председателя Наблюдательного совета Фонда развития района является руководитель районного отделения уполномоченного государственного органа по прогнозированию и исполнению бюджета.</w:t>
      </w:r>
    </w:p>
    <w:p>
      <w:pPr>
        <w:spacing w:after="120"/>
        <w:jc w:val="both"/>
      </w:pPr>
      <w:r>
        <w:rPr>
          <w:rFonts w:ascii="Arial" w:cs="Arial" w:eastAsia="Arial" w:hAnsi="Arial"/>
          <w:sz w:val="24"/>
          <w:szCs w:val="24"/>
        </w:rPr>
        <w:t xml:space="preserve">26. Состав Наблюдательного совета Фонда развития области утверждается распоряжением полномочного представителя Президента Кыргызской Республики в области на срок не менее 3 лет.</w:t>
      </w:r>
    </w:p>
    <w:p>
      <w:pPr>
        <w:spacing w:after="120"/>
        <w:jc w:val="both"/>
      </w:pPr>
      <w:r>
        <w:rPr>
          <w:rFonts w:ascii="Arial" w:cs="Arial" w:eastAsia="Arial" w:hAnsi="Arial"/>
          <w:sz w:val="24"/>
          <w:szCs w:val="24"/>
        </w:rPr>
        <w:t xml:space="preserve">Состав Наблюдательного совета Фонда развития района утверждается распоряжением главы местной государственной администрации на срок не менее 3 лет.</w:t>
      </w:r>
    </w:p>
    <w:p>
      <w:pPr>
        <w:spacing w:after="120"/>
        <w:jc w:val="both"/>
      </w:pPr>
      <w:r>
        <w:rPr>
          <w:rFonts w:ascii="Arial" w:cs="Arial" w:eastAsia="Arial" w:hAnsi="Arial"/>
          <w:sz w:val="24"/>
          <w:szCs w:val="24"/>
        </w:rPr>
        <w:t xml:space="preserve">27. Члены Наблюдательного совета Фонда несут персональную ответственность за принимаемые Наблюдательным советом Фонда решения, которые привели к причинению вреда интересам Фонда в любой форме, в соответствии с законодательством Кыргызской Республики.</w:t>
      </w:r>
    </w:p>
    <w:p>
      <w:pPr>
        <w:spacing w:after="120"/>
        <w:jc w:val="both"/>
      </w:pPr>
      <w:r>
        <w:rPr>
          <w:rFonts w:ascii="Arial" w:cs="Arial" w:eastAsia="Arial" w:hAnsi="Arial"/>
          <w:sz w:val="24"/>
          <w:szCs w:val="24"/>
        </w:rPr>
        <w:t xml:space="preserve">28. Заседания Наблюдательного совета Фонда созываются по мере необходимости, но не менее одного раза в квартал.</w:t>
      </w:r>
    </w:p>
    <w:p>
      <w:pPr>
        <w:spacing w:after="120"/>
        <w:jc w:val="both"/>
      </w:pPr>
      <w:r>
        <w:rPr>
          <w:rFonts w:ascii="Arial" w:cs="Arial" w:eastAsia="Arial" w:hAnsi="Arial"/>
          <w:sz w:val="24"/>
          <w:szCs w:val="24"/>
        </w:rPr>
        <w:t xml:space="preserve">29. Заседание Наблюдательного совета Фонда считается правомочным, если на нем присутствует не менее половины его состава.</w:t>
      </w:r>
    </w:p>
    <w:p>
      <w:pPr>
        <w:spacing w:after="120"/>
        <w:jc w:val="both"/>
      </w:pPr>
      <w:r>
        <w:rPr>
          <w:rFonts w:ascii="Arial" w:cs="Arial" w:eastAsia="Arial" w:hAnsi="Arial"/>
          <w:sz w:val="24"/>
          <w:szCs w:val="24"/>
        </w:rPr>
        <w:t xml:space="preserve">30. Решение Наблюдательного совета Фонда по вопросам, входящим в его компетенцию, принимается простым большинством голосов присутствовавших на заседании членов Наблюдательного совета Фонда. В случае равенства голосов решающим является голос председательствующего на заседании Наблюдательного совета Фонда.</w:t>
      </w:r>
    </w:p>
    <w:p>
      <w:pPr>
        <w:spacing w:after="120"/>
        <w:jc w:val="both"/>
      </w:pPr>
      <w:r>
        <w:rPr>
          <w:rFonts w:ascii="Arial" w:cs="Arial" w:eastAsia="Arial" w:hAnsi="Arial"/>
          <w:sz w:val="24"/>
          <w:szCs w:val="24"/>
        </w:rPr>
        <w:t xml:space="preserve">31. Заседания Наблюдательного совета Фонда протоколируются секретарем Наблюдательного совета Фонда, являющимся сотрудником дирекции Фонда. Протоколы подписываются председателем Наблюдательного совета Фонда или лицом, председательствующим на заседании, а также присутствующими на заседании членами Наблюдательного совета Фонда. Оригиналы протоколов хранятся в дирекции Фонда.</w:t>
      </w:r>
    </w:p>
    <w:p>
      <w:pPr>
        <w:spacing w:after="120"/>
        <w:jc w:val="both"/>
      </w:pPr>
      <w:r>
        <w:rPr>
          <w:rFonts w:ascii="Arial" w:cs="Arial" w:eastAsia="Arial" w:hAnsi="Arial"/>
          <w:sz w:val="24"/>
          <w:szCs w:val="24"/>
        </w:rPr>
        <w:t xml:space="preserve">32. При отсутствии председателя на заседании Наблюдательный совет Фонда выбирает председательствующего на данное заседание из числа членов Наблюдательного совета Фонда.</w:t>
      </w:r>
    </w:p>
    <w:p>
      <w:pPr>
        <w:spacing w:after="120"/>
        <w:jc w:val="both"/>
      </w:pPr>
      <w:r>
        <w:rPr>
          <w:rFonts w:ascii="Arial" w:cs="Arial" w:eastAsia="Arial" w:hAnsi="Arial"/>
          <w:sz w:val="24"/>
          <w:szCs w:val="24"/>
        </w:rPr>
        <w:t xml:space="preserve">33. Наблюдательный совет Фонда имеет право приглашать на свои заседания, при необходимости, представителей соответствующих технических служб, экспертов и консультантов, которые участвуют в заседаниях без права голоса.</w:t>
      </w:r>
    </w:p>
    <w:p>
      <w:pPr>
        <w:spacing w:after="120"/>
        <w:jc w:val="both"/>
      </w:pPr>
      <w:r>
        <w:rPr>
          <w:rFonts w:ascii="Arial" w:cs="Arial" w:eastAsia="Arial" w:hAnsi="Arial"/>
          <w:sz w:val="24"/>
          <w:szCs w:val="24"/>
        </w:rPr>
        <w:t xml:space="preserve">34. Информация о созыве заседания Наблюдательного совета Фонда с указанием повестки дня, времени и места проведения должна быть доведена дирекцией Фонда до сведения членов Наблюдательного совета Фонда не позднее чем за десять календарных дней до даты проведения заседания.</w:t>
      </w:r>
    </w:p>
    <w:p>
      <w:pPr>
        <w:spacing w:after="120"/>
        <w:jc w:val="both"/>
      </w:pPr>
      <w:r>
        <w:rPr>
          <w:rFonts w:ascii="Arial" w:cs="Arial" w:eastAsia="Arial" w:hAnsi="Arial"/>
          <w:sz w:val="24"/>
          <w:szCs w:val="24"/>
        </w:rPr>
        <w:t xml:space="preserve">35. Допускается компенсировать транспортные расходы и расходы на проживание членов Наблюдательного совета Фонда в период проведения мониторинга реализации проектов в рамках лимита, установленного для операционных расходов Фонда, в соответствии с требованиями бюджетного законодательства Кыргызской Республики и нормативами, установленными для бюджетных учреждений.</w:t>
      </w:r>
    </w:p>
    <w:p>
      <w:pPr>
        <w:spacing w:after="120"/>
        <w:jc w:val="both"/>
      </w:pPr>
      <w:r>
        <w:rPr>
          <w:rFonts w:ascii="Arial" w:cs="Arial" w:eastAsia="Arial" w:hAnsi="Arial"/>
          <w:sz w:val="24"/>
          <w:szCs w:val="24"/>
        </w:rPr>
        <w:t xml:space="preserve">36. Допускается проведение заседания Наблюдательного совета Фонда путем использования системы видео-конференц-связи.</w:t>
      </w:r>
    </w:p>
    <w:p>
      <w:pPr>
        <w:spacing w:after="120"/>
        <w:jc w:val="both"/>
      </w:pPr>
      <w:r>
        <w:rPr>
          <w:rFonts w:ascii="Arial" w:cs="Arial" w:eastAsia="Arial" w:hAnsi="Arial"/>
          <w:sz w:val="24"/>
          <w:szCs w:val="24"/>
        </w:rPr>
        <w:t xml:space="preserve">§ 3. Дирекция Фонда</w:t>
      </w:r>
    </w:p>
    <w:p>
      <w:pPr>
        <w:spacing w:after="120"/>
        <w:jc w:val="both"/>
      </w:pPr>
      <w:r>
        <w:rPr>
          <w:rFonts w:ascii="Arial" w:cs="Arial" w:eastAsia="Arial" w:hAnsi="Arial"/>
          <w:sz w:val="24"/>
          <w:szCs w:val="24"/>
        </w:rPr>
        <w:t xml:space="preserve">37. Дирекция Фонда обеспечивает деятельность и надлежащее исполнение решений Наблюдательного совета Фонда по вопросам финансирования и реализации проектов.</w:t>
      </w:r>
    </w:p>
    <w:p>
      <w:pPr>
        <w:spacing w:after="120"/>
        <w:jc w:val="both"/>
      </w:pPr>
      <w:r>
        <w:rPr>
          <w:rFonts w:ascii="Arial" w:cs="Arial" w:eastAsia="Arial" w:hAnsi="Arial"/>
          <w:sz w:val="24"/>
          <w:szCs w:val="24"/>
        </w:rPr>
        <w:t xml:space="preserve">38. Дирекцию Фонда возглавляет исполнительный директор Фонда, назначаемый на должность сроком до трех лет с возможным последующим продлением трудового договора по решению учредителя или лица, им уполномоченного.</w:t>
      </w:r>
    </w:p>
    <w:p>
      <w:pPr>
        <w:spacing w:after="120"/>
        <w:jc w:val="both"/>
      </w:pPr>
      <w:r>
        <w:rPr>
          <w:rFonts w:ascii="Arial" w:cs="Arial" w:eastAsia="Arial" w:hAnsi="Arial"/>
          <w:sz w:val="24"/>
          <w:szCs w:val="24"/>
        </w:rPr>
        <w:t xml:space="preserve">39. Исполнительный директор Фонда развития области назначается полномочным представителем Президента Кыргызской Республики в области по рекомендации Наблюдательного совета Фонда.</w:t>
      </w:r>
    </w:p>
    <w:p>
      <w:pPr>
        <w:spacing w:after="120"/>
        <w:jc w:val="both"/>
      </w:pPr>
      <w:r>
        <w:rPr>
          <w:rFonts w:ascii="Arial" w:cs="Arial" w:eastAsia="Arial" w:hAnsi="Arial"/>
          <w:sz w:val="24"/>
          <w:szCs w:val="24"/>
        </w:rPr>
        <w:t xml:space="preserve">40. Исполнительный директор Фонда развития района назначается главой местной государственной администрации по рекомендации Наблюдательного совета Фонда.</w:t>
      </w:r>
    </w:p>
    <w:p>
      <w:pPr>
        <w:spacing w:after="120"/>
        <w:jc w:val="both"/>
      </w:pPr>
      <w:r>
        <w:rPr>
          <w:rFonts w:ascii="Arial" w:cs="Arial" w:eastAsia="Arial" w:hAnsi="Arial"/>
          <w:sz w:val="24"/>
          <w:szCs w:val="24"/>
        </w:rPr>
        <w:t xml:space="preserve">41. Штатное расписание и административные расходы дирекции Фонда утверждаются решением Наблюдательного совета Фонда.</w:t>
      </w:r>
    </w:p>
    <w:p>
      <w:pPr>
        <w:spacing w:after="120"/>
        <w:jc w:val="both"/>
      </w:pPr>
      <w:r>
        <w:rPr>
          <w:rFonts w:ascii="Arial" w:cs="Arial" w:eastAsia="Arial" w:hAnsi="Arial"/>
          <w:sz w:val="24"/>
          <w:szCs w:val="24"/>
        </w:rPr>
        <w:t xml:space="preserve">Условия оплаты труда работников Фонда и их штатная численность определена в пунктах 99, 100 настоящего Типового положения.</w:t>
      </w:r>
    </w:p>
    <w:p>
      <w:pPr>
        <w:spacing w:after="120"/>
        <w:jc w:val="both"/>
      </w:pPr>
      <w:r>
        <w:rPr>
          <w:rFonts w:ascii="Arial" w:cs="Arial" w:eastAsia="Arial" w:hAnsi="Arial"/>
          <w:sz w:val="24"/>
          <w:szCs w:val="24"/>
        </w:rPr>
        <w:t xml:space="preserve">42. Договорные отношения между исполнительным директором Фонда и работодателем регулируются нормами трудового законодательства Кыргызской Республики.</w:t>
      </w:r>
    </w:p>
    <w:p>
      <w:pPr>
        <w:spacing w:after="120"/>
        <w:jc w:val="both"/>
      </w:pPr>
      <w:r>
        <w:rPr>
          <w:rFonts w:ascii="Arial" w:cs="Arial" w:eastAsia="Arial" w:hAnsi="Arial"/>
          <w:sz w:val="24"/>
          <w:szCs w:val="24"/>
        </w:rPr>
        <w:t xml:space="preserve">43. Дирекция Фонда:</w:t>
      </w:r>
    </w:p>
    <w:p>
      <w:pPr>
        <w:spacing w:after="120"/>
        <w:jc w:val="both"/>
      </w:pPr>
      <w:r>
        <w:rPr>
          <w:rFonts w:ascii="Arial" w:cs="Arial" w:eastAsia="Arial" w:hAnsi="Arial"/>
          <w:sz w:val="24"/>
          <w:szCs w:val="24"/>
        </w:rPr>
        <w:t xml:space="preserve">1) осуществляет финансовые операции по реализации проектов на основе решения Наблюдательного совета Фонда, а также по операционным и текущим расходам дирекции Фонда;</w:t>
      </w:r>
    </w:p>
    <w:p>
      <w:pPr>
        <w:spacing w:after="120"/>
        <w:jc w:val="both"/>
      </w:pPr>
      <w:r>
        <w:rPr>
          <w:rFonts w:ascii="Arial" w:cs="Arial" w:eastAsia="Arial" w:hAnsi="Arial"/>
          <w:sz w:val="24"/>
          <w:szCs w:val="24"/>
        </w:rPr>
        <w:t xml:space="preserve">2) по запросу членов Наблюдательного совета Фонда, учредителей предоставляет информацию о деятельности Фонда;</w:t>
      </w:r>
    </w:p>
    <w:p>
      <w:pPr>
        <w:spacing w:after="120"/>
        <w:jc w:val="both"/>
      </w:pPr>
      <w:r>
        <w:rPr>
          <w:rFonts w:ascii="Arial" w:cs="Arial" w:eastAsia="Arial" w:hAnsi="Arial"/>
          <w:sz w:val="24"/>
          <w:szCs w:val="24"/>
        </w:rPr>
        <w:t xml:space="preserve">3) открывает бюджетный и специальный счета Фонда в системе казначейства;</w:t>
      </w:r>
    </w:p>
    <w:p>
      <w:pPr>
        <w:spacing w:after="120"/>
        <w:jc w:val="both"/>
      </w:pPr>
      <w:r>
        <w:rPr>
          <w:rFonts w:ascii="Arial" w:cs="Arial" w:eastAsia="Arial" w:hAnsi="Arial"/>
          <w:sz w:val="24"/>
          <w:szCs w:val="24"/>
        </w:rPr>
        <w:t xml:space="preserve">4) проводит предварительный отбор проектов, поступивших от заявителя, на предмет полноты представленных документов;</w:t>
      </w:r>
    </w:p>
    <w:p>
      <w:pPr>
        <w:spacing w:after="120"/>
        <w:jc w:val="both"/>
      </w:pPr>
      <w:r>
        <w:rPr>
          <w:rFonts w:ascii="Arial" w:cs="Arial" w:eastAsia="Arial" w:hAnsi="Arial"/>
          <w:sz w:val="24"/>
          <w:szCs w:val="24"/>
        </w:rPr>
        <w:t xml:space="preserve">5) по решению Наблюдательного совета Фонда обеспечивает подписание финансового соглашения Фонда с Банком на право получения денежных средств Фонда для последующего финансирования субъектов предпринимательства;</w:t>
      </w:r>
    </w:p>
    <w:p>
      <w:pPr>
        <w:spacing w:after="120"/>
        <w:jc w:val="both"/>
      </w:pPr>
      <w:r>
        <w:rPr>
          <w:rFonts w:ascii="Arial" w:cs="Arial" w:eastAsia="Arial" w:hAnsi="Arial"/>
          <w:sz w:val="24"/>
          <w:szCs w:val="24"/>
        </w:rPr>
        <w:t xml:space="preserve">6) по решению Наблюдательного совета Фонда обеспечивает подписание финансового соглашения Фонда с ОАО "ГИК" и другими участниками проекта по жилищному обеспечению граждан Кыргызской Республики;</w:t>
      </w:r>
    </w:p>
    <w:p>
      <w:pPr>
        <w:spacing w:after="120"/>
        <w:jc w:val="both"/>
      </w:pPr>
      <w:r>
        <w:rPr>
          <w:rFonts w:ascii="Arial" w:cs="Arial" w:eastAsia="Arial" w:hAnsi="Arial"/>
          <w:sz w:val="24"/>
          <w:szCs w:val="24"/>
        </w:rPr>
        <w:t xml:space="preserve">7) приостанавливает финансирование в случаях нарушения исполнителем проекта условий договора или процедур реализации проекта;</w:t>
      </w:r>
    </w:p>
    <w:p>
      <w:pPr>
        <w:spacing w:after="120"/>
        <w:jc w:val="both"/>
      </w:pPr>
      <w:r>
        <w:rPr>
          <w:rFonts w:ascii="Arial" w:cs="Arial" w:eastAsia="Arial" w:hAnsi="Arial"/>
          <w:sz w:val="24"/>
          <w:szCs w:val="24"/>
        </w:rPr>
        <w:t xml:space="preserve">8) по решению Наблюдательного совета Фонда проводит закупку товаров, услуг и работ по социальным и инфраструктурным проектам с последующей передачей на баланс государственных органов и/или органов местного самоуправления;</w:t>
      </w:r>
    </w:p>
    <w:p>
      <w:pPr>
        <w:spacing w:after="120"/>
        <w:jc w:val="both"/>
      </w:pPr>
      <w:r>
        <w:rPr>
          <w:rFonts w:ascii="Arial" w:cs="Arial" w:eastAsia="Arial" w:hAnsi="Arial"/>
          <w:sz w:val="24"/>
          <w:szCs w:val="24"/>
        </w:rPr>
        <w:t xml:space="preserve">9) по решению Наблюдательного совета Фонда выступает исполнителем социальных и инфраструктурных проектов;</w:t>
      </w:r>
    </w:p>
    <w:p>
      <w:pPr>
        <w:spacing w:after="120"/>
        <w:jc w:val="both"/>
      </w:pPr>
      <w:r>
        <w:rPr>
          <w:rFonts w:ascii="Arial" w:cs="Arial" w:eastAsia="Arial" w:hAnsi="Arial"/>
          <w:sz w:val="24"/>
          <w:szCs w:val="24"/>
        </w:rPr>
        <w:t xml:space="preserve">10) ведет учет и отчетность по движению денежных средств Фонда в порядке, установленном бюджетным законодательством Кыргызской Республики;</w:t>
      </w:r>
    </w:p>
    <w:p>
      <w:pPr>
        <w:spacing w:after="120"/>
        <w:jc w:val="both"/>
      </w:pPr>
      <w:r>
        <w:rPr>
          <w:rFonts w:ascii="Arial" w:cs="Arial" w:eastAsia="Arial" w:hAnsi="Arial"/>
          <w:sz w:val="24"/>
          <w:szCs w:val="24"/>
        </w:rPr>
        <w:t xml:space="preserve">11) нанимает специалистов, консультантов для осуществления функций дирекции Фонда, мониторинга и оценки проектов;</w:t>
      </w:r>
    </w:p>
    <w:p>
      <w:pPr>
        <w:spacing w:after="120"/>
        <w:jc w:val="both"/>
      </w:pPr>
      <w:r>
        <w:rPr>
          <w:rFonts w:ascii="Arial" w:cs="Arial" w:eastAsia="Arial" w:hAnsi="Arial"/>
          <w:sz w:val="24"/>
          <w:szCs w:val="24"/>
        </w:rPr>
        <w:t xml:space="preserve">12) разрабатывает и вносит на заседание Наблюдательного совета Фонда проект прогнозируемого годового бюджета Фонда, перечень социальных, инфраструктурных и экономических проектов;</w:t>
      </w:r>
    </w:p>
    <w:p>
      <w:pPr>
        <w:spacing w:after="120"/>
        <w:jc w:val="both"/>
      </w:pPr>
      <w:r>
        <w:rPr>
          <w:rFonts w:ascii="Arial" w:cs="Arial" w:eastAsia="Arial" w:hAnsi="Arial"/>
          <w:sz w:val="24"/>
          <w:szCs w:val="24"/>
        </w:rPr>
        <w:t xml:space="preserve">13) разрабатывает и представляет на рассмотрение и утверждение Наблюдательного совета Фонда перечень административных расходов дирекции Фонда на предстоящий год;</w:t>
      </w:r>
    </w:p>
    <w:p>
      <w:pPr>
        <w:spacing w:after="120"/>
        <w:jc w:val="both"/>
      </w:pPr>
      <w:r>
        <w:rPr>
          <w:rFonts w:ascii="Arial" w:cs="Arial" w:eastAsia="Arial" w:hAnsi="Arial"/>
          <w:sz w:val="24"/>
          <w:szCs w:val="24"/>
        </w:rPr>
        <w:t xml:space="preserve">14) проводит работу по организации заседаний Наблюдательного совета Фонда;</w:t>
      </w:r>
    </w:p>
    <w:p>
      <w:pPr>
        <w:spacing w:after="120"/>
        <w:jc w:val="both"/>
      </w:pPr>
      <w:r>
        <w:rPr>
          <w:rFonts w:ascii="Arial" w:cs="Arial" w:eastAsia="Arial" w:hAnsi="Arial"/>
          <w:sz w:val="24"/>
          <w:szCs w:val="24"/>
        </w:rPr>
        <w:t xml:space="preserve">15) подготавливает информацию для аудита;</w:t>
      </w:r>
    </w:p>
    <w:p>
      <w:pPr>
        <w:spacing w:after="120"/>
        <w:jc w:val="both"/>
      </w:pPr>
      <w:r>
        <w:rPr>
          <w:rFonts w:ascii="Arial" w:cs="Arial" w:eastAsia="Arial" w:hAnsi="Arial"/>
          <w:sz w:val="24"/>
          <w:szCs w:val="24"/>
        </w:rPr>
        <w:t xml:space="preserve">16) обеспечивает мониторинг реализации проектов, одобренных Наблюдательным советом Фонда;</w:t>
      </w:r>
    </w:p>
    <w:p>
      <w:pPr>
        <w:spacing w:after="120"/>
        <w:jc w:val="both"/>
      </w:pPr>
      <w:r>
        <w:rPr>
          <w:rFonts w:ascii="Arial" w:cs="Arial" w:eastAsia="Arial" w:hAnsi="Arial"/>
          <w:sz w:val="24"/>
          <w:szCs w:val="24"/>
        </w:rPr>
        <w:t xml:space="preserve">17) осуществляет иные функции и полномочия, направленные на реализацию Типового положения на основании решений Наблюдательного совета Фонда.</w:t>
      </w:r>
    </w:p>
    <w:p>
      <w:pPr>
        <w:spacing w:after="120"/>
        <w:jc w:val="both"/>
      </w:pPr>
      <w:r>
        <w:rPr>
          <w:rFonts w:ascii="Arial" w:cs="Arial" w:eastAsia="Arial" w:hAnsi="Arial"/>
          <w:sz w:val="24"/>
          <w:szCs w:val="24"/>
        </w:rPr>
        <w:t xml:space="preserve">44. Исполнительный директор Фонда:</w:t>
      </w:r>
    </w:p>
    <w:p>
      <w:pPr>
        <w:spacing w:after="120"/>
        <w:jc w:val="both"/>
      </w:pPr>
      <w:r>
        <w:rPr>
          <w:rFonts w:ascii="Arial" w:cs="Arial" w:eastAsia="Arial" w:hAnsi="Arial"/>
          <w:sz w:val="24"/>
          <w:szCs w:val="24"/>
        </w:rPr>
        <w:t xml:space="preserve">1) руководит деятельностью дирекции Фонда;</w:t>
      </w:r>
    </w:p>
    <w:p>
      <w:pPr>
        <w:spacing w:after="120"/>
        <w:jc w:val="both"/>
      </w:pPr>
      <w:r>
        <w:rPr>
          <w:rFonts w:ascii="Arial" w:cs="Arial" w:eastAsia="Arial" w:hAnsi="Arial"/>
          <w:sz w:val="24"/>
          <w:szCs w:val="24"/>
        </w:rPr>
        <w:t xml:space="preserve">2) подписывает от имени Фонда двусторонние договоры с победителями конкурса по отбору проектов;</w:t>
      </w:r>
    </w:p>
    <w:p>
      <w:pPr>
        <w:spacing w:after="120"/>
        <w:jc w:val="both"/>
      </w:pPr>
      <w:r>
        <w:rPr>
          <w:rFonts w:ascii="Arial" w:cs="Arial" w:eastAsia="Arial" w:hAnsi="Arial"/>
          <w:sz w:val="24"/>
          <w:szCs w:val="24"/>
        </w:rPr>
        <w:t xml:space="preserve">3) подписывает финансовое соглашение с Банком/ОАО "ГИК" на основании решения Наблюдательного совета Фонда;</w:t>
      </w:r>
    </w:p>
    <w:p>
      <w:pPr>
        <w:spacing w:after="120"/>
        <w:jc w:val="both"/>
      </w:pPr>
      <w:r>
        <w:rPr>
          <w:rFonts w:ascii="Arial" w:cs="Arial" w:eastAsia="Arial" w:hAnsi="Arial"/>
          <w:sz w:val="24"/>
          <w:szCs w:val="24"/>
        </w:rPr>
        <w:t xml:space="preserve">4) подписывает платежные документы при финансировании проектов;</w:t>
      </w:r>
    </w:p>
    <w:p>
      <w:pPr>
        <w:spacing w:after="120"/>
        <w:jc w:val="both"/>
      </w:pPr>
      <w:r>
        <w:rPr>
          <w:rFonts w:ascii="Arial" w:cs="Arial" w:eastAsia="Arial" w:hAnsi="Arial"/>
          <w:sz w:val="24"/>
          <w:szCs w:val="24"/>
        </w:rPr>
        <w:t xml:space="preserve">5) формирует штатное расписание дирекции Фонда и представляет его на утверждение Наблюдательному совету Фонда;</w:t>
      </w:r>
    </w:p>
    <w:p>
      <w:pPr>
        <w:spacing w:after="120"/>
        <w:jc w:val="both"/>
      </w:pPr>
      <w:r>
        <w:rPr>
          <w:rFonts w:ascii="Arial" w:cs="Arial" w:eastAsia="Arial" w:hAnsi="Arial"/>
          <w:sz w:val="24"/>
          <w:szCs w:val="24"/>
        </w:rPr>
        <w:t xml:space="preserve">6) организовывает отбор сотрудников в соответствии с Трудовым кодексом Кыргызской Республики;</w:t>
      </w:r>
    </w:p>
    <w:p>
      <w:pPr>
        <w:spacing w:after="120"/>
        <w:jc w:val="both"/>
      </w:pPr>
      <w:r>
        <w:rPr>
          <w:rFonts w:ascii="Arial" w:cs="Arial" w:eastAsia="Arial" w:hAnsi="Arial"/>
          <w:sz w:val="24"/>
          <w:szCs w:val="24"/>
        </w:rPr>
        <w:t xml:space="preserve">7) подписывает трудовые договоры с сотрудниками дирекции Фонда;</w:t>
      </w:r>
    </w:p>
    <w:p>
      <w:pPr>
        <w:spacing w:after="120"/>
        <w:jc w:val="both"/>
      </w:pPr>
      <w:r>
        <w:rPr>
          <w:rFonts w:ascii="Arial" w:cs="Arial" w:eastAsia="Arial" w:hAnsi="Arial"/>
          <w:sz w:val="24"/>
          <w:szCs w:val="24"/>
        </w:rPr>
        <w:t xml:space="preserve">8) принимает решения о мерах поощрения сотрудников дирекции Фонда в рамках трудовых договоров, положений трудового законодательства Кыргызской Республики и возможностей сметы расходов дирекции Фонда;</w:t>
      </w:r>
    </w:p>
    <w:p>
      <w:pPr>
        <w:spacing w:after="120"/>
        <w:jc w:val="both"/>
      </w:pPr>
      <w:r>
        <w:rPr>
          <w:rFonts w:ascii="Arial" w:cs="Arial" w:eastAsia="Arial" w:hAnsi="Arial"/>
          <w:sz w:val="24"/>
          <w:szCs w:val="24"/>
        </w:rPr>
        <w:t xml:space="preserve">9) принимает решения о дисциплинарном взыскании за совершение дисциплинарного проступка, то есть неисполнение или ненадлежащее исполнение сотрудником по его вине возложенных на него трудовых обязанностей, в соответствии с нормами трудового законодательства Кыргызской Республики;</w:t>
      </w:r>
    </w:p>
    <w:p>
      <w:pPr>
        <w:spacing w:after="120"/>
        <w:jc w:val="both"/>
      </w:pPr>
      <w:r>
        <w:rPr>
          <w:rFonts w:ascii="Arial" w:cs="Arial" w:eastAsia="Arial" w:hAnsi="Arial"/>
          <w:sz w:val="24"/>
          <w:szCs w:val="24"/>
        </w:rPr>
        <w:t xml:space="preserve">10) осуществляет иные функции и полномочия, направленные на реализацию Типового положения на основании решений Наблюдательного совета Фонда.</w:t>
      </w:r>
    </w:p>
    <w:p>
      <w:pPr>
        <w:spacing w:after="120"/>
        <w:jc w:val="both"/>
      </w:pPr>
      <w:r>
        <w:rPr>
          <w:rFonts w:ascii="Arial" w:cs="Arial" w:eastAsia="Arial" w:hAnsi="Arial"/>
          <w:sz w:val="24"/>
          <w:szCs w:val="24"/>
        </w:rPr>
        <w:t xml:space="preserve">45. Дирекция Фонда ежеквартально публикует в официальных изданиях информацию об использовании средств Фонда, а также размещает эту информацию на веб-сайте (при наличии) местной государственной администрации и/или на сайте аппарата полномочного представителя Президента Кыргызской Республики в области.</w:t>
      </w:r>
    </w:p>
    <w:p>
      <w:pPr>
        <w:spacing w:after="120"/>
        <w:jc w:val="both"/>
      </w:pPr>
      <w:r>
        <w:rPr>
          <w:rFonts w:ascii="Arial" w:cs="Arial" w:eastAsia="Arial" w:hAnsi="Arial"/>
          <w:sz w:val="24"/>
          <w:szCs w:val="24"/>
        </w:rPr>
        <w:t xml:space="preserve">46. Исполнительный директор Фонда несет персональную ответственность за сохранность, эффективное и целевое использование денежных средств Фонда в соответствии с бюджетным законодательством Кыргызской Республики.</w:t>
      </w:r>
    </w:p>
    <w:p>
      <w:pPr>
        <w:spacing w:after="120"/>
        <w:jc w:val="both"/>
      </w:pPr>
      <w:r>
        <w:rPr>
          <w:rFonts w:ascii="Arial" w:cs="Arial" w:eastAsia="Arial" w:hAnsi="Arial"/>
          <w:sz w:val="24"/>
          <w:szCs w:val="24"/>
        </w:rPr>
        <w:t xml:space="preserve">47. Ежеквартально и по итогам каждого года дирекция Фонда подготавливает и представляет на рассмотрение Наблюдательного совета Фонда, учредителю и уполномоченному государственному органу по прогнозированию и исполнению бюджета и государственному органу по экономическому прогнозированию отчет об исполнении средств Фонда за отчетный год и отчет о реализации проектов.</w:t>
      </w:r>
    </w:p>
    <w:p>
      <w:pPr>
        <w:spacing w:after="120"/>
        <w:jc w:val="both"/>
      </w:pPr>
      <w:r>
        <w:rPr>
          <w:rFonts w:ascii="Arial" w:cs="Arial" w:eastAsia="Arial" w:hAnsi="Arial"/>
          <w:sz w:val="24"/>
          <w:szCs w:val="24"/>
        </w:rPr>
        <w:t xml:space="preserve">48. В начале каждого года, но не позднее 30 января текущего года, дирекция Фонда на основе контрольных показателей, предоставляемых соответствующими уполномоченными государственными органами, подготавливает и представляет на рассмотрение Наблюдательного совета Фонда прогноз поступления в Фонд денежных средств.</w:t>
      </w:r>
    </w:p>
    <w:p>
      <w:pPr>
        <w:spacing w:after="120"/>
        <w:jc w:val="both"/>
      </w:pPr>
      <w:r>
        <w:rPr>
          <w:rFonts w:ascii="Arial" w:cs="Arial" w:eastAsia="Arial" w:hAnsi="Arial"/>
          <w:sz w:val="24"/>
          <w:szCs w:val="24"/>
        </w:rPr>
        <w:t xml:space="preserve">Глава 5. Порядок представления проектов для финансирования за счет средств Фонда</w:t>
      </w:r>
    </w:p>
    <w:p>
      <w:pPr>
        <w:spacing w:after="120"/>
        <w:jc w:val="both"/>
      </w:pPr>
      <w:r>
        <w:rPr>
          <w:rFonts w:ascii="Arial" w:cs="Arial" w:eastAsia="Arial" w:hAnsi="Arial"/>
          <w:sz w:val="24"/>
          <w:szCs w:val="24"/>
        </w:rPr>
        <w:t xml:space="preserve">§ 1. Порядок подачи проектной заявки на финансирование социальных и инфраструктурных проектов</w:t>
      </w:r>
    </w:p>
    <w:p>
      <w:pPr>
        <w:spacing w:after="120"/>
        <w:jc w:val="both"/>
      </w:pPr>
      <w:r>
        <w:rPr>
          <w:rFonts w:ascii="Arial" w:cs="Arial" w:eastAsia="Arial" w:hAnsi="Arial"/>
          <w:sz w:val="24"/>
          <w:szCs w:val="24"/>
        </w:rPr>
        <w:t xml:space="preserve">49. Информация о приеме проектных заявок на финансирование социальных и инфраструктурных проектов, а также об условиях проведения отбора проектов на предстоящий год публикуется в средствах массовой информации, интернет-ресурсах, размещается на информационных досках не позднее 1 июля текущего года.</w:t>
      </w:r>
    </w:p>
    <w:p>
      <w:pPr>
        <w:spacing w:after="120"/>
        <w:jc w:val="both"/>
      </w:pPr>
      <w:r>
        <w:rPr>
          <w:rFonts w:ascii="Arial" w:cs="Arial" w:eastAsia="Arial" w:hAnsi="Arial"/>
          <w:sz w:val="24"/>
          <w:szCs w:val="24"/>
        </w:rPr>
        <w:t xml:space="preserve">50. Заявитель оформляет проектную заявку на получение финансирования для социальных и инфраструктурных проектов.</w:t>
      </w:r>
    </w:p>
    <w:p>
      <w:pPr>
        <w:spacing w:after="120"/>
        <w:jc w:val="both"/>
      </w:pPr>
      <w:r>
        <w:rPr>
          <w:rFonts w:ascii="Arial" w:cs="Arial" w:eastAsia="Arial" w:hAnsi="Arial"/>
          <w:sz w:val="24"/>
          <w:szCs w:val="24"/>
        </w:rPr>
        <w:t xml:space="preserve">Проектная заявка, поданная на рассмотрение Фонда и касающаяся объекта муниципальной собственности, утверждается решением местного кенеша.</w:t>
      </w:r>
    </w:p>
    <w:p>
      <w:pPr>
        <w:spacing w:after="120"/>
        <w:jc w:val="both"/>
      </w:pPr>
      <w:r>
        <w:rPr>
          <w:rFonts w:ascii="Arial" w:cs="Arial" w:eastAsia="Arial" w:hAnsi="Arial"/>
          <w:sz w:val="24"/>
          <w:szCs w:val="24"/>
        </w:rPr>
        <w:t xml:space="preserve">Проектная заявка в отношении объекта государственной собственности утверждается решением соответствующего государственного органа.</w:t>
      </w:r>
    </w:p>
    <w:p>
      <w:pPr>
        <w:spacing w:after="120"/>
        <w:jc w:val="both"/>
      </w:pPr>
      <w:r>
        <w:rPr>
          <w:rFonts w:ascii="Arial" w:cs="Arial" w:eastAsia="Arial" w:hAnsi="Arial"/>
          <w:sz w:val="24"/>
          <w:szCs w:val="24"/>
        </w:rPr>
        <w:t xml:space="preserve">51. Дирекция Фонда регистрирует поступившие проектные заявки с предоставлением заявителям подтверждения о регистрации и проводит анализ поступивших проектных заявок на предмет полноты заполнения заявки, наличия технической документации, соответствия строительным и другим нормам и правилам (разрешительные документы, технические спецификации, проектно-сметная документация).</w:t>
      </w:r>
    </w:p>
    <w:p>
      <w:pPr>
        <w:spacing w:after="120"/>
        <w:jc w:val="both"/>
      </w:pPr>
      <w:r>
        <w:rPr>
          <w:rFonts w:ascii="Arial" w:cs="Arial" w:eastAsia="Arial" w:hAnsi="Arial"/>
          <w:sz w:val="24"/>
          <w:szCs w:val="24"/>
        </w:rPr>
        <w:t xml:space="preserve">Дирекция Фонда имеет право уточнить информацию у заявителя или запросить дополнительные документы.</w:t>
      </w:r>
    </w:p>
    <w:p>
      <w:pPr>
        <w:spacing w:after="120"/>
        <w:jc w:val="both"/>
      </w:pPr>
      <w:r>
        <w:rPr>
          <w:rFonts w:ascii="Arial" w:cs="Arial" w:eastAsia="Arial" w:hAnsi="Arial"/>
          <w:sz w:val="24"/>
          <w:szCs w:val="24"/>
        </w:rPr>
        <w:t xml:space="preserve">52. Дирекция Фонда прилагает к каждой поступившей проектной заявке свое заключение, в котором указывается соответствие заявки и ее приложений требованиям настоящего Типового положения, а также строительным и другим нормам и правилам.</w:t>
      </w:r>
    </w:p>
    <w:p>
      <w:pPr>
        <w:spacing w:after="120"/>
        <w:jc w:val="both"/>
      </w:pPr>
      <w:r>
        <w:rPr>
          <w:rFonts w:ascii="Arial" w:cs="Arial" w:eastAsia="Arial" w:hAnsi="Arial"/>
          <w:sz w:val="24"/>
          <w:szCs w:val="24"/>
        </w:rPr>
        <w:t xml:space="preserve">53. Предельный срок приема проектных заявок на предстоящий год устанавливается не позднее 30 ноября текущего года.</w:t>
      </w:r>
    </w:p>
    <w:p>
      <w:pPr>
        <w:spacing w:after="120"/>
        <w:jc w:val="both"/>
      </w:pPr>
      <w:r>
        <w:rPr>
          <w:rFonts w:ascii="Arial" w:cs="Arial" w:eastAsia="Arial" w:hAnsi="Arial"/>
          <w:sz w:val="24"/>
          <w:szCs w:val="24"/>
        </w:rPr>
        <w:t xml:space="preserve">54. Наблюдательный совет Фонда не позднее 30 декабря текущего года проводит заседание по отбору и утверждению проектов.</w:t>
      </w:r>
    </w:p>
    <w:p>
      <w:pPr>
        <w:spacing w:after="120"/>
        <w:jc w:val="both"/>
      </w:pPr>
      <w:r>
        <w:rPr>
          <w:rFonts w:ascii="Arial" w:cs="Arial" w:eastAsia="Arial" w:hAnsi="Arial"/>
          <w:sz w:val="24"/>
          <w:szCs w:val="24"/>
        </w:rPr>
        <w:t xml:space="preserve">55. Дирекция Фонда не позднее чем за пять дней до начала заседания Наблюдательного совета Фонда направляет копии проектных заявок с приложением заключений по проектам всем членам Наблюдательного совета Фонда для предварительного изучения.</w:t>
      </w:r>
    </w:p>
    <w:p>
      <w:pPr>
        <w:spacing w:after="120"/>
        <w:jc w:val="both"/>
      </w:pPr>
      <w:r>
        <w:rPr>
          <w:rFonts w:ascii="Arial" w:cs="Arial" w:eastAsia="Arial" w:hAnsi="Arial"/>
          <w:sz w:val="24"/>
          <w:szCs w:val="24"/>
        </w:rPr>
        <w:t xml:space="preserve">56. Отбор проектов осуществляется членами Наблюдательного совета Фонда на заседании на основе подсчета баллов, которые выставляются в соответствии с критериями отбора социальных и инфраструктурных проектов.</w:t>
      </w:r>
    </w:p>
    <w:p>
      <w:pPr>
        <w:spacing w:after="120"/>
        <w:jc w:val="both"/>
      </w:pPr>
      <w:r>
        <w:rPr>
          <w:rFonts w:ascii="Arial" w:cs="Arial" w:eastAsia="Arial" w:hAnsi="Arial"/>
          <w:sz w:val="24"/>
          <w:szCs w:val="24"/>
        </w:rPr>
        <w:t xml:space="preserve">57. Финансирование строительства, реконструкции объектов государственной и муниципальной собственности в рамках границ частного земельного участка не допускается.</w:t>
      </w:r>
    </w:p>
    <w:p>
      <w:pPr>
        <w:spacing w:after="120"/>
        <w:jc w:val="both"/>
      </w:pPr>
      <w:r>
        <w:rPr>
          <w:rFonts w:ascii="Arial" w:cs="Arial" w:eastAsia="Arial" w:hAnsi="Arial"/>
          <w:sz w:val="24"/>
          <w:szCs w:val="24"/>
        </w:rPr>
        <w:t xml:space="preserve">58. По выставленным баллам секретарь Наблюдательного совета Фонда определяет рейтинг проектов и формирует перечень проектов с суммарным бюджетом, не превышающим прогнозируемый годовой бюджет Фонда в предстоящем году, предусмотренным для финансирования социальных и инфраструктурных проектов, в процентном соотношении согласно пункту 14 настоящего Типового положения.</w:t>
      </w:r>
    </w:p>
    <w:p>
      <w:pPr>
        <w:spacing w:after="120"/>
        <w:jc w:val="both"/>
      </w:pPr>
      <w:r>
        <w:rPr>
          <w:rFonts w:ascii="Arial" w:cs="Arial" w:eastAsia="Arial" w:hAnsi="Arial"/>
          <w:sz w:val="24"/>
          <w:szCs w:val="24"/>
        </w:rPr>
        <w:t xml:space="preserve">59. Перечень проектов утверждается протоколом заседания Наблюдательного совета Фонда и направляется в уполномоченный государственный орган по вопросам государственных финансов, прогнозирования и исполнения бюджета, а также учредителю Фонда в срок, определенный в пункте 81 настоящего Типового положения.</w:t>
      </w:r>
    </w:p>
    <w:p>
      <w:pPr>
        <w:spacing w:after="120"/>
        <w:jc w:val="both"/>
      </w:pPr>
      <w:r>
        <w:rPr>
          <w:rFonts w:ascii="Arial" w:cs="Arial" w:eastAsia="Arial" w:hAnsi="Arial"/>
          <w:sz w:val="24"/>
          <w:szCs w:val="24"/>
        </w:rPr>
        <w:t xml:space="preserve">60. Решение о внесении изменений и дополнений в утвержденный перечень проектов в течение текущего года принимается 2/3 голосов членов Наблюдательного совета Фонда из числа присутствующих на заседании.</w:t>
      </w:r>
    </w:p>
    <w:p>
      <w:pPr>
        <w:spacing w:after="120"/>
        <w:jc w:val="both"/>
      </w:pPr>
      <w:r>
        <w:rPr>
          <w:rFonts w:ascii="Arial" w:cs="Arial" w:eastAsia="Arial" w:hAnsi="Arial"/>
          <w:sz w:val="24"/>
          <w:szCs w:val="24"/>
        </w:rPr>
        <w:t xml:space="preserve">Исключительными основаниями для изменения рейтинга проектов или перечня заявленных проектов являются:</w:t>
      </w:r>
    </w:p>
    <w:p>
      <w:pPr>
        <w:spacing w:after="120"/>
        <w:jc w:val="both"/>
      </w:pPr>
      <w:r>
        <w:rPr>
          <w:rFonts w:ascii="Arial" w:cs="Arial" w:eastAsia="Arial" w:hAnsi="Arial"/>
          <w:sz w:val="24"/>
          <w:szCs w:val="24"/>
        </w:rPr>
        <w:t xml:space="preserve">- наличие подтвержденных фактов нарушения процедур отбора проектов;</w:t>
      </w:r>
    </w:p>
    <w:p>
      <w:pPr>
        <w:spacing w:after="120"/>
        <w:jc w:val="both"/>
      </w:pPr>
      <w:r>
        <w:rPr>
          <w:rFonts w:ascii="Arial" w:cs="Arial" w:eastAsia="Arial" w:hAnsi="Arial"/>
          <w:sz w:val="24"/>
          <w:szCs w:val="24"/>
        </w:rPr>
        <w:t xml:space="preserve">- наличие подтвержденных фактов о финансировании утвержденного проекта за счет других источников;</w:t>
      </w:r>
    </w:p>
    <w:p>
      <w:pPr>
        <w:spacing w:after="120"/>
        <w:jc w:val="both"/>
      </w:pPr>
      <w:r>
        <w:rPr>
          <w:rFonts w:ascii="Arial" w:cs="Arial" w:eastAsia="Arial" w:hAnsi="Arial"/>
          <w:sz w:val="24"/>
          <w:szCs w:val="24"/>
        </w:rPr>
        <w:t xml:space="preserve">- наличие удовлетворенной Наблюдательным советом Фонда претензии со стороны других участников отбора;</w:t>
      </w:r>
    </w:p>
    <w:p>
      <w:pPr>
        <w:spacing w:after="120"/>
        <w:jc w:val="both"/>
      </w:pPr>
      <w:r>
        <w:rPr>
          <w:rFonts w:ascii="Arial" w:cs="Arial" w:eastAsia="Arial" w:hAnsi="Arial"/>
          <w:sz w:val="24"/>
          <w:szCs w:val="24"/>
        </w:rPr>
        <w:t xml:space="preserve">- отказ заявителя от участия в конкурсе по отбору проектов для финансирования за счет средств Фонда.</w:t>
      </w:r>
    </w:p>
    <w:p>
      <w:pPr>
        <w:spacing w:after="120"/>
        <w:jc w:val="both"/>
      </w:pPr>
      <w:r>
        <w:rPr>
          <w:rFonts w:ascii="Arial" w:cs="Arial" w:eastAsia="Arial" w:hAnsi="Arial"/>
          <w:sz w:val="24"/>
          <w:szCs w:val="24"/>
        </w:rPr>
        <w:t xml:space="preserve">61. По итогам отбора исполнительный директор Фонда подписывает договор о финансировании проекта за счет средств Фонда с исполнителем проекта в лице соответствующего государственного органа, органа местного самоуправления.</w:t>
      </w:r>
    </w:p>
    <w:p>
      <w:pPr>
        <w:spacing w:after="120"/>
        <w:jc w:val="both"/>
      </w:pPr>
      <w:r>
        <w:rPr>
          <w:rFonts w:ascii="Arial" w:cs="Arial" w:eastAsia="Arial" w:hAnsi="Arial"/>
          <w:sz w:val="24"/>
          <w:szCs w:val="24"/>
        </w:rPr>
        <w:t xml:space="preserve">В случае если исполнителем проекта является дирекция Фонда, заключается договор с соответствующим государственным органом или органом местного самоуправления по срокам реализации проекта и передачи на их баланс.</w:t>
      </w:r>
    </w:p>
    <w:p>
      <w:pPr>
        <w:spacing w:after="120"/>
        <w:jc w:val="both"/>
      </w:pPr>
      <w:r>
        <w:rPr>
          <w:rFonts w:ascii="Arial" w:cs="Arial" w:eastAsia="Arial" w:hAnsi="Arial"/>
          <w:sz w:val="24"/>
          <w:szCs w:val="24"/>
        </w:rPr>
        <w:t xml:space="preserve">§ 2. Порядок подачи проектной заявки на финансирование экономических проектов через Банк</w:t>
      </w:r>
    </w:p>
    <w:p>
      <w:pPr>
        <w:spacing w:after="120"/>
        <w:jc w:val="both"/>
      </w:pPr>
      <w:r>
        <w:rPr>
          <w:rFonts w:ascii="Arial" w:cs="Arial" w:eastAsia="Arial" w:hAnsi="Arial"/>
          <w:sz w:val="24"/>
          <w:szCs w:val="24"/>
        </w:rPr>
        <w:t xml:space="preserve">62. Дирекция Фонда осуществляет прием заявок на финансирование экономических проектов от субъектов предпринимательства на ежеквартальной основе не позднее 1 числа второго месяца текущего квартала.</w:t>
      </w:r>
    </w:p>
    <w:p>
      <w:pPr>
        <w:spacing w:after="120"/>
        <w:jc w:val="both"/>
      </w:pPr>
      <w:r>
        <w:rPr>
          <w:rFonts w:ascii="Arial" w:cs="Arial" w:eastAsia="Arial" w:hAnsi="Arial"/>
          <w:sz w:val="24"/>
          <w:szCs w:val="24"/>
        </w:rPr>
        <w:t xml:space="preserve">63. Дирекция Фонда производит регистрацию заявок с соответствующим уведомлением заявителей и в течение 10 календарных дней проводит анализ поступивших проектных заявок на предмет полноты заполнения заявки и направляет на ознакомление членам Наблюдательного совета Фонда.</w:t>
      </w:r>
    </w:p>
    <w:p>
      <w:pPr>
        <w:spacing w:after="120"/>
        <w:jc w:val="both"/>
      </w:pPr>
      <w:r>
        <w:rPr>
          <w:rFonts w:ascii="Arial" w:cs="Arial" w:eastAsia="Arial" w:hAnsi="Arial"/>
          <w:sz w:val="24"/>
          <w:szCs w:val="24"/>
        </w:rPr>
        <w:t xml:space="preserve">В случае необходимости уточняет информацию у заявителя или запрашивает дополнительные документы.</w:t>
      </w:r>
    </w:p>
    <w:p>
      <w:pPr>
        <w:spacing w:after="120"/>
        <w:jc w:val="both"/>
      </w:pPr>
      <w:r>
        <w:rPr>
          <w:rFonts w:ascii="Arial" w:cs="Arial" w:eastAsia="Arial" w:hAnsi="Arial"/>
          <w:sz w:val="24"/>
          <w:szCs w:val="24"/>
        </w:rPr>
        <w:t xml:space="preserve">64. Заседание Наблюдательного совета Фонда проводится не позднее 20 числа второго месяца текущего квартала.</w:t>
      </w:r>
    </w:p>
    <w:p>
      <w:pPr>
        <w:spacing w:after="120"/>
        <w:jc w:val="both"/>
      </w:pPr>
      <w:r>
        <w:rPr>
          <w:rFonts w:ascii="Arial" w:cs="Arial" w:eastAsia="Arial" w:hAnsi="Arial"/>
          <w:sz w:val="24"/>
          <w:szCs w:val="24"/>
        </w:rPr>
        <w:t xml:space="preserve">65. Отбор проектов осуществляется членами Наблюдательного совета Фонда на заседании на основе подсчета баллов, которые выставляются в соответствии с критериями отбора экономических проектов.</w:t>
      </w:r>
    </w:p>
    <w:p>
      <w:pPr>
        <w:spacing w:after="120"/>
        <w:jc w:val="both"/>
      </w:pPr>
      <w:r>
        <w:rPr>
          <w:rFonts w:ascii="Arial" w:cs="Arial" w:eastAsia="Arial" w:hAnsi="Arial"/>
          <w:sz w:val="24"/>
          <w:szCs w:val="24"/>
        </w:rPr>
        <w:t xml:space="preserve">По выставленным баллам секретарь Наблюдательного совета Фонда определяет рейтинг проектов и формируется перечень проектов с суммарным бюджетом, не превышающим сумму финансовых средств, имеющихся у Фонда на счетах в Банке.</w:t>
      </w:r>
    </w:p>
    <w:p>
      <w:pPr>
        <w:spacing w:after="120"/>
        <w:jc w:val="both"/>
      </w:pPr>
      <w:r>
        <w:rPr>
          <w:rFonts w:ascii="Arial" w:cs="Arial" w:eastAsia="Arial" w:hAnsi="Arial"/>
          <w:sz w:val="24"/>
          <w:szCs w:val="24"/>
        </w:rPr>
        <w:t xml:space="preserve">В текущий перечень в приоритетном порядке включаются проекты, поступившие и одобренные Наблюдательным советом Фонда в предыдущем квартале, но не включенные в перечень из-за недостаточности финансовых средств Фонда в Банке.</w:t>
      </w:r>
    </w:p>
    <w:p>
      <w:pPr>
        <w:spacing w:after="120"/>
        <w:jc w:val="both"/>
      </w:pPr>
      <w:r>
        <w:rPr>
          <w:rFonts w:ascii="Arial" w:cs="Arial" w:eastAsia="Arial" w:hAnsi="Arial"/>
          <w:sz w:val="24"/>
          <w:szCs w:val="24"/>
        </w:rPr>
        <w:t xml:space="preserve">66. Перечень проектов утверждается протоколом заседания Наблюдательного совета Фонда и направляется в Банк с предоставлением копии решения Наблюдательного совета Фонда заявителям одобренных проектов не позднее 3 рабочих дней после проведенного заседания Наблюдательного совета Фонда.</w:t>
      </w:r>
    </w:p>
    <w:p>
      <w:pPr>
        <w:spacing w:after="120"/>
        <w:jc w:val="both"/>
      </w:pPr>
      <w:r>
        <w:rPr>
          <w:rFonts w:ascii="Arial" w:cs="Arial" w:eastAsia="Arial" w:hAnsi="Arial"/>
          <w:sz w:val="24"/>
          <w:szCs w:val="24"/>
        </w:rPr>
        <w:t xml:space="preserve">67. Заявители проектов, одобренных решением Наблюдательного совета Фонда, обращаются в Банк для дальнейшего предоставления необходимых документов согласно требованиям и условиям Банка.</w:t>
      </w:r>
    </w:p>
    <w:p>
      <w:pPr>
        <w:spacing w:after="120"/>
        <w:jc w:val="both"/>
      </w:pPr>
      <w:r>
        <w:rPr>
          <w:rFonts w:ascii="Arial" w:cs="Arial" w:eastAsia="Arial" w:hAnsi="Arial"/>
          <w:sz w:val="24"/>
          <w:szCs w:val="24"/>
        </w:rPr>
        <w:t xml:space="preserve">68. Заявителями проектов заключаются соответствующий кредитный договор с Банком согласно требованиям и условиям Банка. Проекты, не соответствующие требованиям и условиям Банка, отклоняются со стороны Банка.</w:t>
      </w:r>
    </w:p>
    <w:p>
      <w:pPr>
        <w:spacing w:after="120"/>
        <w:jc w:val="both"/>
      </w:pPr>
      <w:r>
        <w:rPr>
          <w:rFonts w:ascii="Arial" w:cs="Arial" w:eastAsia="Arial" w:hAnsi="Arial"/>
          <w:sz w:val="24"/>
          <w:szCs w:val="24"/>
        </w:rPr>
        <w:t xml:space="preserve">§ 3. Порядок финансирования экономических проектов через Банк</w:t>
      </w:r>
    </w:p>
    <w:p>
      <w:pPr>
        <w:spacing w:after="120"/>
        <w:jc w:val="both"/>
      </w:pPr>
      <w:r>
        <w:rPr>
          <w:rFonts w:ascii="Arial" w:cs="Arial" w:eastAsia="Arial" w:hAnsi="Arial"/>
          <w:sz w:val="24"/>
          <w:szCs w:val="24"/>
        </w:rPr>
        <w:t xml:space="preserve">69. Экономические проекты, планируемые к финансированию через Банк, должны способствовать социально-экономическому развитию региона.</w:t>
      </w:r>
    </w:p>
    <w:p>
      <w:pPr>
        <w:spacing w:after="120"/>
        <w:jc w:val="both"/>
      </w:pPr>
      <w:r>
        <w:rPr>
          <w:rFonts w:ascii="Arial" w:cs="Arial" w:eastAsia="Arial" w:hAnsi="Arial"/>
          <w:sz w:val="24"/>
          <w:szCs w:val="24"/>
        </w:rPr>
        <w:t xml:space="preserve">Запрещается финансировать проекты, направленные на производство табака и табачной продукции, алкогольных напитков, оружия и боеприпасов, наркотических и психотропных веществ (за исключением препаратов медицинского значения) и иных товаров, изъятых из гражданского оборота или ограниченных в гражданском обороте, а также принудительный и детский труд и прочие запрещенные законодательством Кыргызской Республики виды деятельности.</w:t>
      </w:r>
    </w:p>
    <w:p>
      <w:pPr>
        <w:spacing w:after="120"/>
        <w:jc w:val="both"/>
      </w:pPr>
      <w:r>
        <w:rPr>
          <w:rFonts w:ascii="Arial" w:cs="Arial" w:eastAsia="Arial" w:hAnsi="Arial"/>
          <w:sz w:val="24"/>
          <w:szCs w:val="24"/>
        </w:rPr>
        <w:t xml:space="preserve">70. Дирекция Фонда:</w:t>
      </w:r>
    </w:p>
    <w:p>
      <w:pPr>
        <w:spacing w:after="120"/>
        <w:jc w:val="both"/>
      </w:pPr>
      <w:r>
        <w:rPr>
          <w:rFonts w:ascii="Arial" w:cs="Arial" w:eastAsia="Arial" w:hAnsi="Arial"/>
          <w:sz w:val="24"/>
          <w:szCs w:val="24"/>
        </w:rPr>
        <w:t xml:space="preserve">1) на основании решения Наблюдательного совета Фонда направляет в Банк письменный запрос о намерении заключить финансовое соглашение о передаче права Банку финансировать экономические проекты за счет средств Фонда;</w:t>
      </w:r>
    </w:p>
    <w:p>
      <w:pPr>
        <w:spacing w:after="120"/>
        <w:jc w:val="both"/>
      </w:pPr>
      <w:r>
        <w:rPr>
          <w:rFonts w:ascii="Arial" w:cs="Arial" w:eastAsia="Arial" w:hAnsi="Arial"/>
          <w:sz w:val="24"/>
          <w:szCs w:val="24"/>
        </w:rPr>
        <w:t xml:space="preserve">2) заключает финансовое соглашение с Банком;</w:t>
      </w:r>
    </w:p>
    <w:p>
      <w:pPr>
        <w:spacing w:after="120"/>
        <w:jc w:val="both"/>
      </w:pPr>
      <w:r>
        <w:rPr>
          <w:rFonts w:ascii="Arial" w:cs="Arial" w:eastAsia="Arial" w:hAnsi="Arial"/>
          <w:sz w:val="24"/>
          <w:szCs w:val="24"/>
        </w:rPr>
        <w:t xml:space="preserve">3) ежеквартально осуществляет сбор заявок субъектов предпринимательства и выносит на рассмотрение Наблюдательного совета Фонда;</w:t>
      </w:r>
    </w:p>
    <w:p>
      <w:pPr>
        <w:spacing w:after="120"/>
        <w:jc w:val="both"/>
      </w:pPr>
      <w:r>
        <w:rPr>
          <w:rFonts w:ascii="Arial" w:cs="Arial" w:eastAsia="Arial" w:hAnsi="Arial"/>
          <w:sz w:val="24"/>
          <w:szCs w:val="24"/>
        </w:rPr>
        <w:t xml:space="preserve">4) предоставляет Банку и заявителям копию решения Наблюдательного совета Фонда с перечнем одобренных экономических проектов;</w:t>
      </w:r>
    </w:p>
    <w:p>
      <w:pPr>
        <w:spacing w:after="120"/>
        <w:jc w:val="both"/>
      </w:pPr>
      <w:r>
        <w:rPr>
          <w:rFonts w:ascii="Arial" w:cs="Arial" w:eastAsia="Arial" w:hAnsi="Arial"/>
          <w:sz w:val="24"/>
          <w:szCs w:val="24"/>
        </w:rPr>
        <w:t xml:space="preserve">5) по письменному уведомлению Банка перечисляет на внутрибанковский счет Банка денежные средства, одобренных Банком проектных заявок субъектов предпринимательства, для дальнейшего кредитования;</w:t>
      </w:r>
    </w:p>
    <w:p>
      <w:pPr>
        <w:spacing w:after="120"/>
        <w:jc w:val="both"/>
      </w:pPr>
      <w:r>
        <w:rPr>
          <w:rFonts w:ascii="Arial" w:cs="Arial" w:eastAsia="Arial" w:hAnsi="Arial"/>
          <w:sz w:val="24"/>
          <w:szCs w:val="24"/>
        </w:rPr>
        <w:t xml:space="preserve">6) осуществляет взаиморасчеты с Банком по погашению основной суммы долга и процентного дохода на ежеквартальной основе путем исполнения обязательств, предусмотренных графиком погашения между Банком и Фондом, на дополнительный внутрибанковский (транзитный) счет, открытый Банком в целях проведения взаиморасчетов с Фондом.</w:t>
      </w:r>
    </w:p>
    <w:p>
      <w:pPr>
        <w:spacing w:after="120"/>
        <w:jc w:val="both"/>
      </w:pPr>
      <w:r>
        <w:rPr>
          <w:rFonts w:ascii="Arial" w:cs="Arial" w:eastAsia="Arial" w:hAnsi="Arial"/>
          <w:sz w:val="24"/>
          <w:szCs w:val="24"/>
        </w:rPr>
        <w:t xml:space="preserve">Поступившие денежные средства на дополнительный внутрибанковский (транзитный) счет могут быть использованы в счет финансирования других экономических проектов по решению Фонда.</w:t>
      </w:r>
    </w:p>
    <w:p>
      <w:pPr>
        <w:spacing w:after="120"/>
        <w:jc w:val="both"/>
      </w:pPr>
      <w:r>
        <w:rPr>
          <w:rFonts w:ascii="Arial" w:cs="Arial" w:eastAsia="Arial" w:hAnsi="Arial"/>
          <w:sz w:val="24"/>
          <w:szCs w:val="24"/>
        </w:rPr>
        <w:t xml:space="preserve">71. На основании решения Наблюдательного совета Фонда свободные денежные средства Фонда в Банке могут быть размещены на депозитном счете в виде срочного вклада и/или вклада до востребования с начислением соответствующих процентов Фонду.</w:t>
      </w:r>
    </w:p>
    <w:p>
      <w:pPr>
        <w:spacing w:after="120"/>
        <w:jc w:val="both"/>
      </w:pPr>
      <w:r>
        <w:rPr>
          <w:rFonts w:ascii="Arial" w:cs="Arial" w:eastAsia="Arial" w:hAnsi="Arial"/>
          <w:sz w:val="24"/>
          <w:szCs w:val="24"/>
        </w:rPr>
        <w:t xml:space="preserve">72. Банк:</w:t>
      </w:r>
    </w:p>
    <w:p>
      <w:pPr>
        <w:spacing w:after="120"/>
        <w:jc w:val="both"/>
      </w:pPr>
      <w:r>
        <w:rPr>
          <w:rFonts w:ascii="Arial" w:cs="Arial" w:eastAsia="Arial" w:hAnsi="Arial"/>
          <w:sz w:val="24"/>
          <w:szCs w:val="24"/>
        </w:rPr>
        <w:t xml:space="preserve">1) заключает финансовое соглашение с Фондом на основании поступившего письменного запроса Фонда о намерении заключить финансовое соглашение о передаче Банку права финансировать экономические проекты за счет средств Фонда;</w:t>
      </w:r>
    </w:p>
    <w:p>
      <w:pPr>
        <w:spacing w:after="120"/>
        <w:jc w:val="both"/>
      </w:pPr>
      <w:r>
        <w:rPr>
          <w:rFonts w:ascii="Arial" w:cs="Arial" w:eastAsia="Arial" w:hAnsi="Arial"/>
          <w:sz w:val="24"/>
          <w:szCs w:val="24"/>
        </w:rPr>
        <w:t xml:space="preserve">2) на ежеквартальной основе рассматривает поступившие кредитные заявки субъектов предпринимательства, ранее одобренные решением Наблюдательного совета Фонда, и осуществляет их кредитование, в случае соответствия проектов внутренним требованиям и условиям Банка;</w:t>
      </w:r>
    </w:p>
    <w:p>
      <w:pPr>
        <w:spacing w:after="120"/>
        <w:jc w:val="both"/>
      </w:pPr>
      <w:r>
        <w:rPr>
          <w:rFonts w:ascii="Arial" w:cs="Arial" w:eastAsia="Arial" w:hAnsi="Arial"/>
          <w:sz w:val="24"/>
          <w:szCs w:val="24"/>
        </w:rPr>
        <w:t xml:space="preserve">3) определяет предельную процентную ставку для субъектов предпринимательства и проценты, уплачиваемые Банком Фонду за пользование денежными средствами Фонда, в соответствии с пунктом 73 настоящего Типового положения;</w:t>
      </w:r>
    </w:p>
    <w:p>
      <w:pPr>
        <w:spacing w:after="120"/>
        <w:jc w:val="both"/>
      </w:pPr>
      <w:r>
        <w:rPr>
          <w:rFonts w:ascii="Arial" w:cs="Arial" w:eastAsia="Arial" w:hAnsi="Arial"/>
          <w:sz w:val="24"/>
          <w:szCs w:val="24"/>
        </w:rPr>
        <w:t xml:space="preserve">4) устанавливает комиссию за обналичивание денежных средств в рамках кредитного договора между Банком и субъектом предпринимательства в размере не более 0,5% (покрывается субъектом предпринимательства);</w:t>
      </w:r>
    </w:p>
    <w:p>
      <w:pPr>
        <w:spacing w:after="120"/>
        <w:jc w:val="both"/>
      </w:pPr>
      <w:r>
        <w:rPr>
          <w:rFonts w:ascii="Arial" w:cs="Arial" w:eastAsia="Arial" w:hAnsi="Arial"/>
          <w:sz w:val="24"/>
          <w:szCs w:val="24"/>
        </w:rPr>
        <w:t xml:space="preserve">5) открывает дополнительный внутрибанковский (транзитный) счет для осуществления взаиморасчетов с Фондом по погашению основной суммы долга и процентного дохода на ежеквартальной основе;</w:t>
      </w:r>
    </w:p>
    <w:p>
      <w:pPr>
        <w:spacing w:after="120"/>
        <w:jc w:val="both"/>
      </w:pPr>
      <w:r>
        <w:rPr>
          <w:rFonts w:ascii="Arial" w:cs="Arial" w:eastAsia="Arial" w:hAnsi="Arial"/>
          <w:sz w:val="24"/>
          <w:szCs w:val="24"/>
        </w:rPr>
        <w:t xml:space="preserve">6) по уведомлению Фонда реинвестирует свободные денежные средства Фонда на дополнительном внутрибанковском (транзитном) счете на новые экономические проекты по истечении 30 календарных дней с момента перечисления на внутрибанковский счет, неиспользованные денежные средства в установленном порядке возвращаются в республиканский бюджет и утверждаются как средства соответствующего Фонда в планируемом году;</w:t>
      </w:r>
    </w:p>
    <w:p>
      <w:pPr>
        <w:spacing w:after="120"/>
        <w:jc w:val="both"/>
      </w:pPr>
      <w:r>
        <w:rPr>
          <w:rFonts w:ascii="Arial" w:cs="Arial" w:eastAsia="Arial" w:hAnsi="Arial"/>
          <w:sz w:val="24"/>
          <w:szCs w:val="24"/>
        </w:rPr>
        <w:t xml:space="preserve">7) по каждому экономическому проекту, профинансированному Банком, основную сумму долга и процентный доход Фонда возвращает на казначейские счета Фонда по истечении срока исполнения графика погашения между Банком и Фондом, в сумме, равной остатку на отчетную дату на дополнительном внутрибанковском (транзитном) счете, подтвержденной актом сверки между Фондом и Банком;</w:t>
      </w:r>
    </w:p>
    <w:p>
      <w:pPr>
        <w:spacing w:after="120"/>
        <w:jc w:val="both"/>
      </w:pPr>
      <w:r>
        <w:rPr>
          <w:rFonts w:ascii="Arial" w:cs="Arial" w:eastAsia="Arial" w:hAnsi="Arial"/>
          <w:sz w:val="24"/>
          <w:szCs w:val="24"/>
        </w:rPr>
        <w:t xml:space="preserve">8) несет ответственность за возвратность, обеспеченность, платность, срочность и целевое использование заемных средств;</w:t>
      </w:r>
    </w:p>
    <w:p>
      <w:pPr>
        <w:spacing w:after="120"/>
        <w:jc w:val="both"/>
      </w:pPr>
      <w:r>
        <w:rPr>
          <w:rFonts w:ascii="Arial" w:cs="Arial" w:eastAsia="Arial" w:hAnsi="Arial"/>
          <w:sz w:val="24"/>
          <w:szCs w:val="24"/>
        </w:rPr>
        <w:t xml:space="preserve">9) на ежеквартальной основе представляет отчет Фонду по использованию средств.</w:t>
      </w:r>
    </w:p>
    <w:p>
      <w:pPr>
        <w:spacing w:after="120"/>
        <w:jc w:val="both"/>
      </w:pPr>
      <w:r>
        <w:rPr>
          <w:rFonts w:ascii="Arial" w:cs="Arial" w:eastAsia="Arial" w:hAnsi="Arial"/>
          <w:sz w:val="24"/>
          <w:szCs w:val="24"/>
        </w:rPr>
        <w:t xml:space="preserve">73. Финансовые условия Фонда:</w:t>
      </w:r>
    </w:p>
    <w:p>
      <w:pPr>
        <w:spacing w:after="120"/>
        <w:jc w:val="both"/>
      </w:pPr>
      <w:r>
        <w:rPr>
          <w:rFonts w:ascii="Arial" w:cs="Arial" w:eastAsia="Arial" w:hAnsi="Arial"/>
          <w:sz w:val="24"/>
          <w:szCs w:val="24"/>
        </w:rPr>
        <w:t xml:space="preserve">1) предельная процентная ставка для субъектов предпринимательства составляет:</w:t>
      </w:r>
    </w:p>
    <w:p>
      <w:pPr>
        <w:spacing w:after="120"/>
        <w:jc w:val="both"/>
      </w:pPr>
      <w:r>
        <w:rPr>
          <w:rFonts w:ascii="Arial" w:cs="Arial" w:eastAsia="Arial" w:hAnsi="Arial"/>
          <w:sz w:val="24"/>
          <w:szCs w:val="24"/>
        </w:rPr>
        <w:t xml:space="preserve">для финансирования инвестиционной деятельности со сроком до 5 лет - 6% годовых, из них процентный доход Фонда - 2% годовых;</w:t>
      </w:r>
    </w:p>
    <w:p>
      <w:pPr>
        <w:spacing w:after="120"/>
        <w:jc w:val="both"/>
      </w:pPr>
      <w:r>
        <w:rPr>
          <w:rFonts w:ascii="Arial" w:cs="Arial" w:eastAsia="Arial" w:hAnsi="Arial"/>
          <w:sz w:val="24"/>
          <w:szCs w:val="24"/>
        </w:rPr>
        <w:t xml:space="preserve">для финансирования оборотного капитала со сроком до 3 лет - 6% годовых, из них процентный доход Фонда - 2% годовых;</w:t>
      </w:r>
    </w:p>
    <w:p>
      <w:pPr>
        <w:spacing w:after="120"/>
        <w:jc w:val="both"/>
      </w:pPr>
      <w:r>
        <w:rPr>
          <w:rFonts w:ascii="Arial" w:cs="Arial" w:eastAsia="Arial" w:hAnsi="Arial"/>
          <w:sz w:val="24"/>
          <w:szCs w:val="24"/>
        </w:rPr>
        <w:t xml:space="preserve">2) предельная процентная ставка для субъектов предпринимательства, реализующих проект в отдаленных, труднодоступных, высокогорных и приграничных территориях, имеющих особый статус:</w:t>
      </w:r>
    </w:p>
    <w:p>
      <w:pPr>
        <w:spacing w:after="120"/>
        <w:jc w:val="both"/>
      </w:pPr>
      <w:r>
        <w:rPr>
          <w:rFonts w:ascii="Arial" w:cs="Arial" w:eastAsia="Arial" w:hAnsi="Arial"/>
          <w:sz w:val="24"/>
          <w:szCs w:val="24"/>
        </w:rPr>
        <w:t xml:space="preserve">для финансирования инвестиционной деятельности со сроком до 7 лет - 5,5% годовых, из них процентный доход Фонда - 1,5% годовых;</w:t>
      </w:r>
    </w:p>
    <w:p>
      <w:pPr>
        <w:spacing w:after="120"/>
        <w:jc w:val="both"/>
      </w:pPr>
      <w:r>
        <w:rPr>
          <w:rFonts w:ascii="Arial" w:cs="Arial" w:eastAsia="Arial" w:hAnsi="Arial"/>
          <w:sz w:val="24"/>
          <w:szCs w:val="24"/>
        </w:rPr>
        <w:t xml:space="preserve">для финансирования оборотного капитала со сроком до 5 лет - 5,5% годовых, из них процентный доход Фонда - 1,5% годовых.</w:t>
      </w:r>
    </w:p>
    <w:p>
      <w:pPr>
        <w:spacing w:after="120"/>
        <w:jc w:val="both"/>
      </w:pPr>
      <w:r>
        <w:rPr>
          <w:rFonts w:ascii="Arial" w:cs="Arial" w:eastAsia="Arial" w:hAnsi="Arial"/>
          <w:sz w:val="24"/>
          <w:szCs w:val="24"/>
        </w:rPr>
        <w:t xml:space="preserve">Населенные пункты, отнесенные к отдаленным, труднодоступным, высокогорным и приграничным территориям, имеющим особый статус, определяются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74. Финансовое соглашение, заключенное между Фондом и Банком, может содержать иные положения, регулирующие правоотношения между Фондом и Банком, при этом не противоречащие настоящему Типовому положению и законодательству Кыргызской Республики.</w:t>
      </w:r>
    </w:p>
    <w:p>
      <w:pPr>
        <w:spacing w:after="120"/>
        <w:jc w:val="both"/>
      </w:pPr>
      <w:r>
        <w:rPr>
          <w:rFonts w:ascii="Arial" w:cs="Arial" w:eastAsia="Arial" w:hAnsi="Arial"/>
          <w:sz w:val="24"/>
          <w:szCs w:val="24"/>
        </w:rPr>
        <w:t xml:space="preserve">По решению Наблюдательного совета Фонда Фонд и Банк имеют право заключать дополнительные соглашения к заключенному финансовому соглашению.</w:t>
      </w:r>
    </w:p>
    <w:p>
      <w:pPr>
        <w:spacing w:after="120"/>
        <w:jc w:val="both"/>
      </w:pPr>
      <w:r>
        <w:rPr>
          <w:rFonts w:ascii="Arial" w:cs="Arial" w:eastAsia="Arial" w:hAnsi="Arial"/>
          <w:sz w:val="24"/>
          <w:szCs w:val="24"/>
        </w:rPr>
        <w:t xml:space="preserve">75. Любой спор, противоречия и взаимные претензии между Фондом и Банком, являющиеся следствием или связанные с заключенным финансовым соглашением, разрешаются посредством проведения переговоров или направления претензии. В случае если противоречия и взаимные претензии не могут быть решены посредством переговоров, то они подлежат разрешению в судебном порядке в соответствии с законодательством Кыргызской Республики.</w:t>
      </w:r>
    </w:p>
    <w:p>
      <w:pPr>
        <w:spacing w:after="120"/>
        <w:jc w:val="both"/>
      </w:pPr>
      <w:r>
        <w:rPr>
          <w:rFonts w:ascii="Arial" w:cs="Arial" w:eastAsia="Arial" w:hAnsi="Arial"/>
          <w:sz w:val="24"/>
          <w:szCs w:val="24"/>
        </w:rPr>
        <w:t xml:space="preserve">В случае наступления форс-мажорных обстоятельств (действия непреодолимой силы) Банк приостанавливает или продлевает исполнение взятых на себя обязательств по заключенному финансовому соглашению на время действия форс-мажора. Факт наступления форс-мажорных обстоятельств оформляется актом между Банком и Фондом, либо другим соответствующим документом. При прекращении действия форс-мажора Банк обязуется в полной мере и в минимальные сроки выполнить обязательства перед Фондом.</w:t>
      </w:r>
    </w:p>
    <w:p>
      <w:pPr>
        <w:spacing w:after="120"/>
        <w:jc w:val="both"/>
      </w:pPr>
      <w:r>
        <w:rPr>
          <w:rFonts w:ascii="Arial" w:cs="Arial" w:eastAsia="Arial" w:hAnsi="Arial"/>
          <w:sz w:val="24"/>
          <w:szCs w:val="24"/>
        </w:rPr>
        <w:t xml:space="preserve">76. В случае неисполнения со стороны Банка обязательств по возврату всей (части) суммы денежных средств, на сумму просроченной задолженности начисляются проценты по ставке 4% годовых с момента просрочки Банком исполнения обязательств по заключенному финансовому соглашению - по день фактического погашения всей суммы просроченной задолженности включительно.</w:t>
      </w:r>
    </w:p>
    <w:p>
      <w:pPr>
        <w:spacing w:after="120"/>
        <w:jc w:val="both"/>
      </w:pPr>
      <w:r>
        <w:rPr>
          <w:rFonts w:ascii="Arial" w:cs="Arial" w:eastAsia="Arial" w:hAnsi="Arial"/>
          <w:sz w:val="24"/>
          <w:szCs w:val="24"/>
        </w:rPr>
        <w:t xml:space="preserve">В случае реорганизации, в том числе ликвидации Фонда в установленном законодательством Кыргызской Республики порядке, право истребования финансовой задолженности Банка перед Фондом осуществляется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 4. Обязательства исполнителя проекта</w:t>
      </w:r>
    </w:p>
    <w:p>
      <w:pPr>
        <w:spacing w:after="120"/>
        <w:jc w:val="both"/>
      </w:pPr>
      <w:r>
        <w:rPr>
          <w:rFonts w:ascii="Arial" w:cs="Arial" w:eastAsia="Arial" w:hAnsi="Arial"/>
          <w:sz w:val="24"/>
          <w:szCs w:val="24"/>
        </w:rPr>
        <w:t xml:space="preserve">77. Исполнитель проекта обязан:</w:t>
      </w:r>
    </w:p>
    <w:p>
      <w:pPr>
        <w:spacing w:after="120"/>
        <w:jc w:val="both"/>
      </w:pPr>
      <w:r>
        <w:rPr>
          <w:rFonts w:ascii="Arial" w:cs="Arial" w:eastAsia="Arial" w:hAnsi="Arial"/>
          <w:sz w:val="24"/>
          <w:szCs w:val="24"/>
        </w:rPr>
        <w:t xml:space="preserve">1) обеспечить реализацию проекта в соответствии с заключенным договором между исполнителем проекта и Фондом;</w:t>
      </w:r>
    </w:p>
    <w:p>
      <w:pPr>
        <w:spacing w:after="120"/>
        <w:jc w:val="both"/>
      </w:pPr>
      <w:r>
        <w:rPr>
          <w:rFonts w:ascii="Arial" w:cs="Arial" w:eastAsia="Arial" w:hAnsi="Arial"/>
          <w:sz w:val="24"/>
          <w:szCs w:val="24"/>
        </w:rPr>
        <w:t xml:space="preserve">2) обеспечить, при необходимости, мобилизацию местного сообщества для участия в реализации проекта;</w:t>
      </w:r>
    </w:p>
    <w:p>
      <w:pPr>
        <w:spacing w:after="120"/>
        <w:jc w:val="both"/>
      </w:pPr>
      <w:r>
        <w:rPr>
          <w:rFonts w:ascii="Arial" w:cs="Arial" w:eastAsia="Arial" w:hAnsi="Arial"/>
          <w:sz w:val="24"/>
          <w:szCs w:val="24"/>
        </w:rPr>
        <w:t xml:space="preserve">3) провести закупки товаров, работ и услуг по проекту в соответствии с законодательством Кыргызской Республики о государственных закупках;</w:t>
      </w:r>
    </w:p>
    <w:p>
      <w:pPr>
        <w:spacing w:after="120"/>
        <w:jc w:val="both"/>
      </w:pPr>
      <w:r>
        <w:rPr>
          <w:rFonts w:ascii="Arial" w:cs="Arial" w:eastAsia="Arial" w:hAnsi="Arial"/>
          <w:sz w:val="24"/>
          <w:szCs w:val="24"/>
        </w:rPr>
        <w:t xml:space="preserve">4) обеспечить, при необходимости, технический надзор со стороны органов местного самоуправления за исполнением проекта;</w:t>
      </w:r>
    </w:p>
    <w:p>
      <w:pPr>
        <w:spacing w:after="120"/>
        <w:jc w:val="both"/>
      </w:pPr>
      <w:r>
        <w:rPr>
          <w:rFonts w:ascii="Arial" w:cs="Arial" w:eastAsia="Arial" w:hAnsi="Arial"/>
          <w:sz w:val="24"/>
          <w:szCs w:val="24"/>
        </w:rPr>
        <w:t xml:space="preserve">5) информировать население о ходе реализации проекта на всех этапах реализации проекта на основе результатов мониторинга.</w:t>
      </w:r>
    </w:p>
    <w:p>
      <w:pPr>
        <w:spacing w:after="120"/>
        <w:jc w:val="both"/>
      </w:pPr>
      <w:r>
        <w:rPr>
          <w:rFonts w:ascii="Arial" w:cs="Arial" w:eastAsia="Arial" w:hAnsi="Arial"/>
          <w:sz w:val="24"/>
          <w:szCs w:val="24"/>
        </w:rPr>
        <w:t xml:space="preserve">78. Ежеквартально и по итогам завершения работ по проекту исполнитель проекта предоставляет Фонду финансовый отчет и отчет о ходе реализации проекта по установленной форме.</w:t>
      </w:r>
    </w:p>
    <w:p>
      <w:pPr>
        <w:spacing w:after="120"/>
        <w:jc w:val="both"/>
      </w:pPr>
      <w:r>
        <w:rPr>
          <w:rFonts w:ascii="Arial" w:cs="Arial" w:eastAsia="Arial" w:hAnsi="Arial"/>
          <w:sz w:val="24"/>
          <w:szCs w:val="24"/>
        </w:rPr>
        <w:t xml:space="preserve">В случае если исполнителем проекта является дирекция Фонда ежеквартально и по итогам завершения работ по проекту исполнитель проекта предоставляет уполномоченному государственному органу по прогнозированию и исполнению бюджета и уполномоченному государственному органу по экономическому прогнозированию финансовый отчет и отчет о ходе реализации проекта по установленной форме.</w:t>
      </w:r>
    </w:p>
    <w:p>
      <w:pPr>
        <w:spacing w:after="120"/>
        <w:jc w:val="both"/>
      </w:pPr>
      <w:r>
        <w:rPr>
          <w:rFonts w:ascii="Arial" w:cs="Arial" w:eastAsia="Arial" w:hAnsi="Arial"/>
          <w:sz w:val="24"/>
          <w:szCs w:val="24"/>
        </w:rPr>
        <w:t xml:space="preserve">Глава 6. Порядок формирования и расходования финансовых средств Фонда</w:t>
      </w:r>
    </w:p>
    <w:p>
      <w:pPr>
        <w:spacing w:after="120"/>
        <w:jc w:val="both"/>
      </w:pPr>
      <w:r>
        <w:rPr>
          <w:rFonts w:ascii="Arial" w:cs="Arial" w:eastAsia="Arial" w:hAnsi="Arial"/>
          <w:sz w:val="24"/>
          <w:szCs w:val="24"/>
        </w:rPr>
        <w:t xml:space="preserve">§ 1. Порядок формирования финансовых средств Фонда</w:t>
      </w:r>
    </w:p>
    <w:p>
      <w:pPr>
        <w:spacing w:after="120"/>
        <w:jc w:val="both"/>
      </w:pPr>
      <w:r>
        <w:rPr>
          <w:rFonts w:ascii="Arial" w:cs="Arial" w:eastAsia="Arial" w:hAnsi="Arial"/>
          <w:sz w:val="24"/>
          <w:szCs w:val="24"/>
        </w:rPr>
        <w:t xml:space="preserve">79. Финансовые средства Фонда формируются:</w:t>
      </w:r>
    </w:p>
    <w:p>
      <w:pPr>
        <w:spacing w:after="120"/>
        <w:jc w:val="both"/>
      </w:pPr>
      <w:r>
        <w:rPr>
          <w:rFonts w:ascii="Arial" w:cs="Arial" w:eastAsia="Arial" w:hAnsi="Arial"/>
          <w:sz w:val="24"/>
          <w:szCs w:val="24"/>
        </w:rPr>
        <w:t xml:space="preserve">1) по бюджетным счетам:</w:t>
      </w:r>
    </w:p>
    <w:p>
      <w:pPr>
        <w:spacing w:after="120"/>
        <w:jc w:val="both"/>
      </w:pPr>
      <w:r>
        <w:rPr>
          <w:rFonts w:ascii="Arial" w:cs="Arial" w:eastAsia="Arial" w:hAnsi="Arial"/>
          <w:sz w:val="24"/>
          <w:szCs w:val="24"/>
        </w:rPr>
        <w:t xml:space="preserve">- за счет средств, отчисляемых в республиканский бюджет физическими или юридическими лицами, осуществляющими разработку (добычу) месторождений полезных ископаемых, предназначенных на содержание инфраструктуры местного значения и реализацию мероприятий целевого назначения в соответствии с программами социально-экономического развития территорий, распределяемых по фондам в соответствии с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о неналоговых доходах;</w:t>
      </w:r>
    </w:p>
    <w:p>
      <w:pPr>
        <w:spacing w:after="120"/>
        <w:jc w:val="both"/>
      </w:pPr>
      <w:r>
        <w:rPr>
          <w:rFonts w:ascii="Arial" w:cs="Arial" w:eastAsia="Arial" w:hAnsi="Arial"/>
          <w:sz w:val="24"/>
          <w:szCs w:val="24"/>
        </w:rPr>
        <w:t xml:space="preserve">- за счет средств, выделяемых из республиканского бюджета, согласно пунктам 101-105 настоящего Типового положения;</w:t>
      </w:r>
    </w:p>
    <w:p>
      <w:pPr>
        <w:spacing w:after="120"/>
        <w:jc w:val="both"/>
      </w:pPr>
      <w:r>
        <w:rPr>
          <w:rFonts w:ascii="Arial" w:cs="Arial" w:eastAsia="Arial" w:hAnsi="Arial"/>
          <w:sz w:val="24"/>
          <w:szCs w:val="24"/>
        </w:rPr>
        <w:t xml:space="preserve">- за счет средств, полученных в результате возврата Банком Фонду основного долга согласно заключенному финансовому соглашению;</w:t>
      </w:r>
    </w:p>
    <w:p>
      <w:pPr>
        <w:spacing w:after="120"/>
        <w:jc w:val="both"/>
      </w:pPr>
      <w:r>
        <w:rPr>
          <w:rFonts w:ascii="Arial" w:cs="Arial" w:eastAsia="Arial" w:hAnsi="Arial"/>
          <w:sz w:val="24"/>
          <w:szCs w:val="24"/>
        </w:rPr>
        <w:t xml:space="preserve">- за счет средств, полученных в результате возврата ОАО "ГИК" Фонду основного долга согласно заключенному финансовому соглашению;</w:t>
      </w:r>
    </w:p>
    <w:p>
      <w:pPr>
        <w:spacing w:after="120"/>
        <w:jc w:val="both"/>
      </w:pPr>
      <w:r>
        <w:rPr>
          <w:rFonts w:ascii="Arial" w:cs="Arial" w:eastAsia="Arial" w:hAnsi="Arial"/>
          <w:sz w:val="24"/>
          <w:szCs w:val="24"/>
        </w:rPr>
        <w:t xml:space="preserve">2) по специальным счетам:</w:t>
      </w:r>
    </w:p>
    <w:p>
      <w:pPr>
        <w:spacing w:after="120"/>
        <w:jc w:val="both"/>
      </w:pPr>
      <w:r>
        <w:rPr>
          <w:rFonts w:ascii="Arial" w:cs="Arial" w:eastAsia="Arial" w:hAnsi="Arial"/>
          <w:sz w:val="24"/>
          <w:szCs w:val="24"/>
        </w:rPr>
        <w:t xml:space="preserve">- за счет спонсорской помощи и добровольных взносов;</w:t>
      </w:r>
    </w:p>
    <w:p>
      <w:pPr>
        <w:spacing w:after="120"/>
        <w:jc w:val="both"/>
      </w:pPr>
      <w:r>
        <w:rPr>
          <w:rFonts w:ascii="Arial" w:cs="Arial" w:eastAsia="Arial" w:hAnsi="Arial"/>
          <w:sz w:val="24"/>
          <w:szCs w:val="24"/>
        </w:rPr>
        <w:t xml:space="preserve">- за счет благотворительной или грантовой помощи;</w:t>
      </w:r>
    </w:p>
    <w:p>
      <w:pPr>
        <w:spacing w:after="120"/>
        <w:jc w:val="both"/>
      </w:pPr>
      <w:r>
        <w:rPr>
          <w:rFonts w:ascii="Arial" w:cs="Arial" w:eastAsia="Arial" w:hAnsi="Arial"/>
          <w:sz w:val="24"/>
          <w:szCs w:val="24"/>
        </w:rPr>
        <w:t xml:space="preserve">- за счет отчислений от международных институтов для проведения совместной научно-исследовательской работы;</w:t>
      </w:r>
    </w:p>
    <w:p>
      <w:pPr>
        <w:spacing w:after="120"/>
        <w:jc w:val="both"/>
      </w:pPr>
      <w:r>
        <w:rPr>
          <w:rFonts w:ascii="Arial" w:cs="Arial" w:eastAsia="Arial" w:hAnsi="Arial"/>
          <w:sz w:val="24"/>
          <w:szCs w:val="24"/>
        </w:rPr>
        <w:t xml:space="preserve">- за счет средств, полученных в результате возврата Банком Фонду процентного дохода Фонда согласно заключенному финансовому соглашению;</w:t>
      </w:r>
    </w:p>
    <w:p>
      <w:pPr>
        <w:spacing w:after="120"/>
        <w:jc w:val="both"/>
      </w:pPr>
      <w:r>
        <w:rPr>
          <w:rFonts w:ascii="Arial" w:cs="Arial" w:eastAsia="Arial" w:hAnsi="Arial"/>
          <w:sz w:val="24"/>
          <w:szCs w:val="24"/>
        </w:rPr>
        <w:t xml:space="preserve">- иных средств, определяемых Кабинетом Министров Кыргызской Республики.</w:t>
      </w:r>
    </w:p>
    <w:p>
      <w:pPr>
        <w:spacing w:after="120"/>
        <w:jc w:val="both"/>
      </w:pPr>
      <w:r>
        <w:rPr>
          <w:rFonts w:ascii="Arial" w:cs="Arial" w:eastAsia="Arial" w:hAnsi="Arial"/>
          <w:sz w:val="24"/>
          <w:szCs w:val="24"/>
        </w:rPr>
        <w:t xml:space="preserve">80. Прогнозные показатели по неналоговым доходам Фонда представляет уполномоченный государственный орган по прогнозированию и исполнению бюджета.</w:t>
      </w:r>
    </w:p>
    <w:p>
      <w:pPr>
        <w:spacing w:after="120"/>
        <w:jc w:val="both"/>
      </w:pPr>
      <w:r>
        <w:rPr>
          <w:rFonts w:ascii="Arial" w:cs="Arial" w:eastAsia="Arial" w:hAnsi="Arial"/>
          <w:sz w:val="24"/>
          <w:szCs w:val="24"/>
        </w:rPr>
        <w:t xml:space="preserve">§ 2. Порядок расходования денежных средств Фонда на реализацию проектов</w:t>
      </w:r>
    </w:p>
    <w:p>
      <w:pPr>
        <w:spacing w:after="120"/>
        <w:jc w:val="both"/>
      </w:pPr>
      <w:r>
        <w:rPr>
          <w:rFonts w:ascii="Arial" w:cs="Arial" w:eastAsia="Arial" w:hAnsi="Arial"/>
          <w:sz w:val="24"/>
          <w:szCs w:val="24"/>
        </w:rPr>
        <w:t xml:space="preserve">81. Дирекция Фонда не позднее 10 февраля текущего года вносит в уполномоченный государственный орган по прогнозированию и исполнению бюджета решение Наблюдательного совета Фонда об утверждении сметы расходов Фонда на текущий год по категориям в соответствии с пунктом 14 настоящего Типового положения.</w:t>
      </w:r>
    </w:p>
    <w:p>
      <w:pPr>
        <w:spacing w:after="120"/>
        <w:jc w:val="both"/>
      </w:pPr>
      <w:r>
        <w:rPr>
          <w:rFonts w:ascii="Arial" w:cs="Arial" w:eastAsia="Arial" w:hAnsi="Arial"/>
          <w:sz w:val="24"/>
          <w:szCs w:val="24"/>
        </w:rPr>
        <w:t xml:space="preserve">82. Уполномоченный государственный орган по прогнозированию и исполнению бюджета утверждает годовой бюджет Фонда, обеспечивает принятие распоряжения Кабинета Министров Кыргызской Республики по включению переходящих остатков бюджета Фонда прошлого года в бюджет текущего года не позднее 1 апреля текущего года.</w:t>
      </w:r>
    </w:p>
    <w:p>
      <w:pPr>
        <w:spacing w:after="120"/>
        <w:jc w:val="both"/>
      </w:pPr>
      <w:r>
        <w:rPr>
          <w:rFonts w:ascii="Arial" w:cs="Arial" w:eastAsia="Arial" w:hAnsi="Arial"/>
          <w:sz w:val="24"/>
          <w:szCs w:val="24"/>
        </w:rPr>
        <w:t xml:space="preserve">83. Фонд при наличии финансовых средств на своих счетах в срок до 5 числа текущего месяца направляет заявку на открытие финансирования в уполномоченный государственный орган по прогнозированию и исполнению бюджета. Если заявка представлена после 5 числа текущего месяца, то рассмотрение заявки на финансирование будет осуществлено в следующем месяце.</w:t>
      </w:r>
    </w:p>
    <w:p>
      <w:pPr>
        <w:spacing w:after="120"/>
        <w:jc w:val="both"/>
      </w:pPr>
      <w:r>
        <w:rPr>
          <w:rFonts w:ascii="Arial" w:cs="Arial" w:eastAsia="Arial" w:hAnsi="Arial"/>
          <w:sz w:val="24"/>
          <w:szCs w:val="24"/>
        </w:rPr>
        <w:t xml:space="preserve">84. Кассовые расходы Фонда, смета расходов составляются, формируются и финансируются по статьям 3111 "Здания и сооружения" и 3214 "Кредиты, ссуды, займы" и осуществляются по упрощенным казначейским процедурам в установленном Бюджетной классификацией Кыргызской Республики порядке.</w:t>
      </w:r>
    </w:p>
    <w:p>
      <w:pPr>
        <w:spacing w:after="120"/>
        <w:jc w:val="both"/>
      </w:pPr>
      <w:r>
        <w:rPr>
          <w:rFonts w:ascii="Arial" w:cs="Arial" w:eastAsia="Arial" w:hAnsi="Arial"/>
          <w:sz w:val="24"/>
          <w:szCs w:val="24"/>
        </w:rPr>
        <w:t xml:space="preserve">85. Фонд, который является главным распорядителем бюджетных средств, осуществляет расходы в пределах выделенных средств, выполняя денежно-платежные операции по реализации отобранных проектов.</w:t>
      </w:r>
    </w:p>
    <w:p>
      <w:pPr>
        <w:spacing w:after="120"/>
        <w:jc w:val="both"/>
      </w:pPr>
      <w:r>
        <w:rPr>
          <w:rFonts w:ascii="Arial" w:cs="Arial" w:eastAsia="Arial" w:hAnsi="Arial"/>
          <w:sz w:val="24"/>
          <w:szCs w:val="24"/>
        </w:rPr>
        <w:t xml:space="preserve">86. В случае превышения поступлений над объемом средств, утвержденных законодательством Кыргызской Республики о республиканском бюджете на соответствующий год, уточнение сметных назначений осуществляется в установленном порядке.</w:t>
      </w:r>
    </w:p>
    <w:p>
      <w:pPr>
        <w:spacing w:after="120"/>
        <w:jc w:val="both"/>
      </w:pPr>
      <w:r>
        <w:rPr>
          <w:rFonts w:ascii="Arial" w:cs="Arial" w:eastAsia="Arial" w:hAnsi="Arial"/>
          <w:sz w:val="24"/>
          <w:szCs w:val="24"/>
        </w:rPr>
        <w:t xml:space="preserve">87. Учет и отчетность о движении денежных средств Фонда ведутся в соответствии с бюджетным законодательством Кыргызской Республики.</w:t>
      </w:r>
    </w:p>
    <w:p>
      <w:pPr>
        <w:spacing w:after="120"/>
        <w:jc w:val="both"/>
      </w:pPr>
      <w:r>
        <w:rPr>
          <w:rFonts w:ascii="Arial" w:cs="Arial" w:eastAsia="Arial" w:hAnsi="Arial"/>
          <w:sz w:val="24"/>
          <w:szCs w:val="24"/>
        </w:rPr>
        <w:t xml:space="preserve">88. Финансирование социальных и инфраструктурных проектов осуществляется на основе двустороннего договора, подписанного между Фондом, в лице исполнительного директора Фонда, и исполнителем проекта.</w:t>
      </w:r>
    </w:p>
    <w:p>
      <w:pPr>
        <w:spacing w:after="120"/>
        <w:jc w:val="both"/>
      </w:pPr>
      <w:r>
        <w:rPr>
          <w:rFonts w:ascii="Arial" w:cs="Arial" w:eastAsia="Arial" w:hAnsi="Arial"/>
          <w:sz w:val="24"/>
          <w:szCs w:val="24"/>
        </w:rPr>
        <w:t xml:space="preserve">Финансирование экономических проектов через Банк осуществляется на основе двустороннего договора, подписанного между Банком и субъектом предпринимательства.</w:t>
      </w:r>
    </w:p>
    <w:p>
      <w:pPr>
        <w:spacing w:after="120"/>
        <w:jc w:val="both"/>
      </w:pPr>
      <w:r>
        <w:rPr>
          <w:rFonts w:ascii="Arial" w:cs="Arial" w:eastAsia="Arial" w:hAnsi="Arial"/>
          <w:sz w:val="24"/>
          <w:szCs w:val="24"/>
        </w:rPr>
        <w:t xml:space="preserve">Финансирование проектов по жилищному обеспечению граждан Кыргызской Республики осуществляется на основе финансового соглашения, подписанного между Фондом, ОАО "ГИК" и другими участниками проекта (при наличии).</w:t>
      </w:r>
    </w:p>
    <w:p>
      <w:pPr>
        <w:spacing w:after="120"/>
        <w:jc w:val="both"/>
      </w:pPr>
      <w:r>
        <w:rPr>
          <w:rFonts w:ascii="Arial" w:cs="Arial" w:eastAsia="Arial" w:hAnsi="Arial"/>
          <w:sz w:val="24"/>
          <w:szCs w:val="24"/>
        </w:rPr>
        <w:t xml:space="preserve">89. Мониторинг и контроль за выплатами по проектам осуществляется Фондом. Фонд в установленном порядке представляет отчеты:</w:t>
      </w:r>
    </w:p>
    <w:p>
      <w:pPr>
        <w:spacing w:after="120"/>
        <w:jc w:val="both"/>
      </w:pPr>
      <w:r>
        <w:rPr>
          <w:rFonts w:ascii="Arial" w:cs="Arial" w:eastAsia="Arial" w:hAnsi="Arial"/>
          <w:sz w:val="24"/>
          <w:szCs w:val="24"/>
        </w:rPr>
        <w:t xml:space="preserve">1) об исполнении сметы в уполномоченный государственный орган по прогнозированию и исполнению бюджета;</w:t>
      </w:r>
    </w:p>
    <w:p>
      <w:pPr>
        <w:spacing w:after="120"/>
        <w:jc w:val="both"/>
      </w:pPr>
      <w:r>
        <w:rPr>
          <w:rFonts w:ascii="Arial" w:cs="Arial" w:eastAsia="Arial" w:hAnsi="Arial"/>
          <w:sz w:val="24"/>
          <w:szCs w:val="24"/>
        </w:rPr>
        <w:t xml:space="preserve">2) о реализации проектов в уполномоченный государственный орган экономическому прогнозированию.</w:t>
      </w:r>
    </w:p>
    <w:p>
      <w:pPr>
        <w:spacing w:after="120"/>
        <w:jc w:val="both"/>
      </w:pPr>
      <w:r>
        <w:rPr>
          <w:rFonts w:ascii="Arial" w:cs="Arial" w:eastAsia="Arial" w:hAnsi="Arial"/>
          <w:sz w:val="24"/>
          <w:szCs w:val="24"/>
        </w:rPr>
        <w:t xml:space="preserve">90. Финансирование социальных и инфраструктурных проектов со стороны Фонда осуществляется на основе акта выполненных работ по графику реализации проекта и акта выполненного транша по плану финансирования проекта, представленного исполнителем проекта.</w:t>
      </w:r>
    </w:p>
    <w:p>
      <w:pPr>
        <w:spacing w:after="120"/>
        <w:jc w:val="both"/>
      </w:pPr>
      <w:r>
        <w:rPr>
          <w:rFonts w:ascii="Arial" w:cs="Arial" w:eastAsia="Arial" w:hAnsi="Arial"/>
          <w:sz w:val="24"/>
          <w:szCs w:val="24"/>
        </w:rPr>
        <w:t xml:space="preserve">Средства, предусмотренные для финансирования экономических проектов через Банк, на основании утвержденного Наблюдательным советом Фонда прогнозного объема финансирования экономических проектов через Банк в текущем году, перечисляются на счет Фонда в Банке на основе поданной заявки Фондом в уполномоченный государственный орган по прогнозированию и исполнению бюджета.</w:t>
      </w:r>
    </w:p>
    <w:p>
      <w:pPr>
        <w:spacing w:after="120"/>
        <w:jc w:val="both"/>
      </w:pPr>
      <w:r>
        <w:rPr>
          <w:rFonts w:ascii="Arial" w:cs="Arial" w:eastAsia="Arial" w:hAnsi="Arial"/>
          <w:sz w:val="24"/>
          <w:szCs w:val="24"/>
        </w:rPr>
        <w:t xml:space="preserve">91. Неосвоенные на конец текущего года остатки средств Фонда в установленном порядке возвращаются в республиканский бюджет и утверждаются как средства соответствующего Фонда в планируемом году.</w:t>
      </w:r>
    </w:p>
    <w:p>
      <w:pPr>
        <w:spacing w:after="120"/>
        <w:jc w:val="both"/>
      </w:pPr>
      <w:r>
        <w:rPr>
          <w:rFonts w:ascii="Arial" w:cs="Arial" w:eastAsia="Arial" w:hAnsi="Arial"/>
          <w:sz w:val="24"/>
          <w:szCs w:val="24"/>
        </w:rPr>
        <w:t xml:space="preserve">Денежные средства Фонда, возвращенные Банком и ОАО "ГИК", являются остатками Фонда в текущем году и утверждаются как средства соответствующего Фонда в планируемом году.</w:t>
      </w:r>
    </w:p>
    <w:p>
      <w:pPr>
        <w:spacing w:after="120"/>
        <w:jc w:val="both"/>
      </w:pPr>
      <w:r>
        <w:rPr>
          <w:rFonts w:ascii="Arial" w:cs="Arial" w:eastAsia="Arial" w:hAnsi="Arial"/>
          <w:sz w:val="24"/>
          <w:szCs w:val="24"/>
        </w:rPr>
        <w:t xml:space="preserve">Глава 7. Мониторинг и оценка деятельности Фонда</w:t>
      </w:r>
    </w:p>
    <w:p>
      <w:pPr>
        <w:spacing w:after="120"/>
        <w:jc w:val="both"/>
      </w:pPr>
      <w:r>
        <w:rPr>
          <w:rFonts w:ascii="Arial" w:cs="Arial" w:eastAsia="Arial" w:hAnsi="Arial"/>
          <w:sz w:val="24"/>
          <w:szCs w:val="24"/>
        </w:rPr>
        <w:t xml:space="preserve">92. Мониторинг эффективности деятельности Фонда проводится на предмет:</w:t>
      </w:r>
    </w:p>
    <w:p>
      <w:pPr>
        <w:spacing w:after="120"/>
        <w:jc w:val="both"/>
      </w:pPr>
      <w:r>
        <w:rPr>
          <w:rFonts w:ascii="Arial" w:cs="Arial" w:eastAsia="Arial" w:hAnsi="Arial"/>
          <w:sz w:val="24"/>
          <w:szCs w:val="24"/>
        </w:rPr>
        <w:t xml:space="preserve">1) соответствия деятельности Фонда правилам и процедурам, определяемым настоящим Типовым положением и Уставом Фонда;</w:t>
      </w:r>
    </w:p>
    <w:p>
      <w:pPr>
        <w:spacing w:after="120"/>
        <w:jc w:val="both"/>
      </w:pPr>
      <w:r>
        <w:rPr>
          <w:rFonts w:ascii="Arial" w:cs="Arial" w:eastAsia="Arial" w:hAnsi="Arial"/>
          <w:sz w:val="24"/>
          <w:szCs w:val="24"/>
        </w:rPr>
        <w:t xml:space="preserve">2) соблюдения целевого использования средств и его соответствия утвержденным планам;</w:t>
      </w:r>
    </w:p>
    <w:p>
      <w:pPr>
        <w:spacing w:after="120"/>
        <w:jc w:val="both"/>
      </w:pPr>
      <w:r>
        <w:rPr>
          <w:rFonts w:ascii="Arial" w:cs="Arial" w:eastAsia="Arial" w:hAnsi="Arial"/>
          <w:sz w:val="24"/>
          <w:szCs w:val="24"/>
        </w:rPr>
        <w:t xml:space="preserve">3) оценки эффективности выполнения проектов и программы кредитования;</w:t>
      </w:r>
    </w:p>
    <w:p>
      <w:pPr>
        <w:spacing w:after="120"/>
        <w:jc w:val="both"/>
      </w:pPr>
      <w:r>
        <w:rPr>
          <w:rFonts w:ascii="Arial" w:cs="Arial" w:eastAsia="Arial" w:hAnsi="Arial"/>
          <w:sz w:val="24"/>
          <w:szCs w:val="24"/>
        </w:rPr>
        <w:t xml:space="preserve">4) соблюдения процедур и норм бюджетного законодательства Кыргызской Республики.</w:t>
      </w:r>
    </w:p>
    <w:p>
      <w:pPr>
        <w:spacing w:after="120"/>
        <w:jc w:val="both"/>
      </w:pPr>
      <w:r>
        <w:rPr>
          <w:rFonts w:ascii="Arial" w:cs="Arial" w:eastAsia="Arial" w:hAnsi="Arial"/>
          <w:sz w:val="24"/>
          <w:szCs w:val="24"/>
        </w:rPr>
        <w:t xml:space="preserve">93. Дирекция Фонда разрабатывает методику проведения мониторинга и оценки, которая утверждается решением Наблюдательного совета Фонда.</w:t>
      </w:r>
    </w:p>
    <w:p>
      <w:pPr>
        <w:spacing w:after="120"/>
        <w:jc w:val="both"/>
      </w:pPr>
      <w:r>
        <w:rPr>
          <w:rFonts w:ascii="Arial" w:cs="Arial" w:eastAsia="Arial" w:hAnsi="Arial"/>
          <w:sz w:val="24"/>
          <w:szCs w:val="24"/>
        </w:rPr>
        <w:t xml:space="preserve">94. По представлению дирекции Фонда Наблюдательный совет Фонда утверждает состав мониторинговой группы Фонда. В состав мониторинговой группы могут входить члены Наблюдательного совета Фонда, представители государственных органов, органов местного самоуправления, коммерческих и некоммерческих организаций.</w:t>
      </w:r>
    </w:p>
    <w:p>
      <w:pPr>
        <w:spacing w:after="120"/>
        <w:jc w:val="both"/>
      </w:pPr>
      <w:r>
        <w:rPr>
          <w:rFonts w:ascii="Arial" w:cs="Arial" w:eastAsia="Arial" w:hAnsi="Arial"/>
          <w:sz w:val="24"/>
          <w:szCs w:val="24"/>
        </w:rPr>
        <w:t xml:space="preserve">95. Члены мониторинговой группы имеют право свободного доступа к информации и документам Фонда.</w:t>
      </w:r>
    </w:p>
    <w:p>
      <w:pPr>
        <w:spacing w:after="120"/>
        <w:jc w:val="both"/>
      </w:pPr>
      <w:r>
        <w:rPr>
          <w:rFonts w:ascii="Arial" w:cs="Arial" w:eastAsia="Arial" w:hAnsi="Arial"/>
          <w:sz w:val="24"/>
          <w:szCs w:val="24"/>
        </w:rPr>
        <w:t xml:space="preserve">96. Результаты мониторинга оформляются в виде отчета, где отражаются результаты мониторинга и рекомендации по устранению отклонений.</w:t>
      </w:r>
    </w:p>
    <w:p>
      <w:pPr>
        <w:spacing w:after="120"/>
        <w:jc w:val="both"/>
      </w:pPr>
      <w:r>
        <w:rPr>
          <w:rFonts w:ascii="Arial" w:cs="Arial" w:eastAsia="Arial" w:hAnsi="Arial"/>
          <w:sz w:val="24"/>
          <w:szCs w:val="24"/>
        </w:rPr>
        <w:t xml:space="preserve">97. Отчет мониторинговой группы заслушивается на заседаниях Наблюдательного совета Фонда не менее 2 раз в год.</w:t>
      </w:r>
    </w:p>
    <w:p>
      <w:pPr>
        <w:spacing w:after="120"/>
        <w:jc w:val="both"/>
      </w:pPr>
      <w:r>
        <w:rPr>
          <w:rFonts w:ascii="Arial" w:cs="Arial" w:eastAsia="Arial" w:hAnsi="Arial"/>
          <w:sz w:val="24"/>
          <w:szCs w:val="24"/>
        </w:rPr>
        <w:t xml:space="preserve">98. Отчет Фонда по результатам мониторинга и оценки на ежегодной основе направляется в уполномоченный государственный орган по прогнозированию и исполнению бюджета, а также в уполномоченный государственный орган по экономическому прогнозированию.</w:t>
      </w:r>
    </w:p>
    <w:p>
      <w:pPr>
        <w:spacing w:after="120"/>
        <w:jc w:val="both"/>
      </w:pPr>
      <w:r>
        <w:rPr>
          <w:rFonts w:ascii="Arial" w:cs="Arial" w:eastAsia="Arial" w:hAnsi="Arial"/>
          <w:sz w:val="24"/>
          <w:szCs w:val="24"/>
        </w:rPr>
        <w:t xml:space="preserve">Глава 8. Особые условия</w:t>
      </w:r>
    </w:p>
    <w:p>
      <w:pPr>
        <w:spacing w:after="120"/>
        <w:jc w:val="both"/>
      </w:pPr>
      <w:r>
        <w:rPr>
          <w:rFonts w:ascii="Arial" w:cs="Arial" w:eastAsia="Arial" w:hAnsi="Arial"/>
          <w:sz w:val="24"/>
          <w:szCs w:val="24"/>
        </w:rPr>
        <w:t xml:space="preserve">§ 1. Условия оплаты труда работников Фондов развития регионов и их штатная численность</w:t>
      </w:r>
    </w:p>
    <w:p>
      <w:pPr>
        <w:spacing w:after="120"/>
        <w:jc w:val="both"/>
      </w:pPr>
      <w:r>
        <w:rPr>
          <w:rFonts w:ascii="Arial" w:cs="Arial" w:eastAsia="Arial" w:hAnsi="Arial"/>
          <w:sz w:val="24"/>
          <w:szCs w:val="24"/>
        </w:rPr>
        <w:t xml:space="preserve">99. Для оплаты труда сотрудников дирекции Фонда устанавливается минимальная базовая ставка в размере 7040 сомов, являющаяся основанием для расчета должностных окладов работников Фонда (далее - должностные оклады), определяемая в соответствии с нормативными правовыми актами Кыргызской Республики в сфере условий оплаты труда работников, не относящихся к категории государственных служащих и занятых в государственных учреждениях.</w:t>
      </w:r>
    </w:p>
    <w:p>
      <w:pPr>
        <w:spacing w:after="120"/>
        <w:jc w:val="both"/>
      </w:pPr>
      <w:r>
        <w:rPr>
          <w:rFonts w:ascii="Arial" w:cs="Arial" w:eastAsia="Arial" w:hAnsi="Arial"/>
          <w:sz w:val="24"/>
          <w:szCs w:val="24"/>
        </w:rPr>
        <w:t xml:space="preserve">100. Должностные оклады формируются из минимальной базовой ставки, коэффициентов кратности к должностным окладам и процентным надбавкам за общую выслугу лет, в том числе с выплатой:</w:t>
      </w:r>
    </w:p>
    <w:p>
      <w:pPr>
        <w:spacing w:after="120"/>
        <w:jc w:val="both"/>
      </w:pPr>
      <w:r>
        <w:rPr>
          <w:rFonts w:ascii="Arial" w:cs="Arial" w:eastAsia="Arial" w:hAnsi="Arial"/>
          <w:sz w:val="24"/>
          <w:szCs w:val="24"/>
        </w:rPr>
        <w:t xml:space="preserve">1) надбавок за проживание и работу в условиях высокогорья и отдаленных труднодоступных зонах в соответствии с законодательством Кыргызской Республики;</w:t>
      </w:r>
    </w:p>
    <w:p>
      <w:pPr>
        <w:spacing w:after="120"/>
        <w:jc w:val="both"/>
      </w:pPr>
      <w:r>
        <w:rPr>
          <w:rFonts w:ascii="Arial" w:cs="Arial" w:eastAsia="Arial" w:hAnsi="Arial"/>
          <w:sz w:val="24"/>
          <w:szCs w:val="24"/>
        </w:rPr>
        <w:t xml:space="preserve">2) при выходе в трудовой отпуск пособия на оздоровление в размере двухмесячного фонда заработной платы;</w:t>
      </w:r>
    </w:p>
    <w:p>
      <w:pPr>
        <w:spacing w:after="120"/>
        <w:jc w:val="both"/>
      </w:pPr>
      <w:r>
        <w:rPr>
          <w:rFonts w:ascii="Arial" w:cs="Arial" w:eastAsia="Arial" w:hAnsi="Arial"/>
          <w:sz w:val="24"/>
          <w:szCs w:val="24"/>
        </w:rPr>
        <w:t xml:space="preserve">3) в конце календарного года тринадцатой заработной платы в размере среднемесячного фонда заработной платы.</w:t>
      </w:r>
    </w:p>
    <w:p>
      <w:pPr>
        <w:spacing w:after="120"/>
        <w:jc w:val="both"/>
      </w:pPr>
      <w:r>
        <w:rPr>
          <w:rFonts w:ascii="Arial" w:cs="Arial" w:eastAsia="Arial" w:hAnsi="Arial"/>
          <w:sz w:val="24"/>
          <w:szCs w:val="24"/>
        </w:rPr>
        <w:t xml:space="preserve">Таблица 1. Коэффициенты кратности к должностным окладам, применяемые при определении размеров должностных окладов работников Фонда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8"/>
        <w:gridCol w:w="3554"/>
        <w:gridCol w:w="2095"/>
        <w:gridCol w:w="2095"/>
        <w:gridCol w:w="2095"/>
      </w:tblGrid>
      <w:tr>
        <w:tc>
          <w:tcPr>
            <w:tcW w:type="dxa" w:w="33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55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должностей</w:t>
            </w:r>
          </w:p>
        </w:tc>
        <w:tc>
          <w:tcPr>
            <w:tcW w:type="dxa" w:w="6285"/>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Коэффициенты кратности при годовом прогнозируемом бюджете Фонда, млн. сомов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менее 50</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50-100</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более 100</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Исполнительный директор</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4,07</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4,48</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4,92</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бухгалтер</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3,63</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4,39</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3,26</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3,59</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3,94</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2,98</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3,28</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3,61</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Уборщик служебных помещений (техничка)</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bl>
    <w:p>
      <w:pPr>
        <w:spacing w:after="120"/>
        <w:jc w:val="both"/>
      </w:pPr>
      <w:r>
        <w:rPr>
          <w:rFonts w:ascii="Arial" w:cs="Arial" w:eastAsia="Arial" w:hAnsi="Arial"/>
          <w:sz w:val="24"/>
          <w:szCs w:val="24"/>
        </w:rPr>
        <w:t xml:space="preserve">Таблица 2. Размеры процентных надбавок за выслугу лет работников Фонда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6"/>
        <w:gridCol w:w="4696"/>
        <w:gridCol w:w="4696"/>
      </w:tblGrid>
      <w:tr>
        <w:tc>
          <w:tcPr>
            <w:tcW w:type="dxa" w:w="78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6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Стаж работы</w:t>
            </w:r>
          </w:p>
        </w:tc>
        <w:tc>
          <w:tcPr>
            <w:tcW w:type="dxa" w:w="46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Размеры процентных надбавок, %</w:t>
            </w:r>
          </w:p>
        </w:tc>
      </w:tr>
      <w:tr>
        <w:tc>
          <w:tcPr>
            <w:tcW w:type="dxa" w:w="7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 до 3 лет</w:t>
            </w:r>
          </w:p>
        </w:tc>
        <w:tc>
          <w:tcPr>
            <w:tcW w:type="dxa" w:w="4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7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3 до 5 лет</w:t>
            </w:r>
          </w:p>
        </w:tc>
        <w:tc>
          <w:tcPr>
            <w:tcW w:type="dxa" w:w="4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7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5 до 10 лет</w:t>
            </w:r>
          </w:p>
        </w:tc>
        <w:tc>
          <w:tcPr>
            <w:tcW w:type="dxa" w:w="4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7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10 до 15 лет</w:t>
            </w:r>
          </w:p>
        </w:tc>
        <w:tc>
          <w:tcPr>
            <w:tcW w:type="dxa" w:w="4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7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15 до 20 лет</w:t>
            </w:r>
          </w:p>
        </w:tc>
        <w:tc>
          <w:tcPr>
            <w:tcW w:type="dxa" w:w="4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7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20 до 25 лет</w:t>
            </w:r>
          </w:p>
        </w:tc>
        <w:tc>
          <w:tcPr>
            <w:tcW w:type="dxa" w:w="4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7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25 лет</w:t>
            </w:r>
          </w:p>
        </w:tc>
        <w:tc>
          <w:tcPr>
            <w:tcW w:type="dxa" w:w="4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bl>
    <w:p>
      <w:pPr>
        <w:spacing w:after="120"/>
        <w:jc w:val="both"/>
      </w:pPr>
      <w:r>
        <w:rPr>
          <w:rFonts w:ascii="Arial" w:cs="Arial" w:eastAsia="Arial" w:hAnsi="Arial"/>
          <w:sz w:val="24"/>
          <w:szCs w:val="24"/>
        </w:rPr>
        <w:t xml:space="preserve">Таблица 3. Типовая штатная численность работников Фонда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6"/>
        <w:gridCol w:w="3471"/>
        <w:gridCol w:w="1595"/>
        <w:gridCol w:w="1595"/>
        <w:gridCol w:w="1595"/>
        <w:gridCol w:w="1595"/>
      </w:tblGrid>
      <w:tr>
        <w:tc>
          <w:tcPr>
            <w:tcW w:type="dxa" w:w="32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47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должностей</w:t>
            </w:r>
          </w:p>
        </w:tc>
        <w:tc>
          <w:tcPr>
            <w:tcW w:type="dxa" w:w="6380"/>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штатных единиц при годовом прогнозируемом бюджете Фонда, млн. сомов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менее 50</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50-100</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более 100</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более 200</w:t>
            </w:r>
          </w:p>
        </w:tc>
      </w:tr>
      <w:tr>
        <w:tc>
          <w:tcPr>
            <w:tcW w:type="dxa" w:w="3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Исполнительный директор</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бухгалтер</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3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Уборщик служебных помещений (техничка)(*)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bl>
    <w:p>
      <w:pPr>
        <w:spacing w:after="120" w:before="120"/>
        <w:jc w:val="both"/>
      </w:pPr>
      <w:r>
        <w:rPr>
          <w:rFonts w:ascii="Arial" w:cs="Arial" w:eastAsia="Arial" w:hAnsi="Arial"/>
          <w:sz w:val="24"/>
          <w:szCs w:val="24"/>
        </w:rPr>
        <w:t xml:space="preserve">(*) Примечание: штатная единица вводится Фондом при необходимости.</w:t>
      </w:r>
    </w:p>
    <w:p>
      <w:pPr>
        <w:spacing w:after="120"/>
        <w:jc w:val="both"/>
      </w:pPr>
      <w:r>
        <w:rPr>
          <w:rFonts w:ascii="Arial" w:cs="Arial" w:eastAsia="Arial" w:hAnsi="Arial"/>
          <w:sz w:val="24"/>
          <w:szCs w:val="24"/>
        </w:rPr>
        <w:t xml:space="preserve">§ 2. Порядок распределения средств из республиканского бюджета в Фонды развития регионов</w:t>
      </w:r>
    </w:p>
    <w:p>
      <w:pPr>
        <w:spacing w:after="120"/>
        <w:jc w:val="both"/>
      </w:pPr>
      <w:r>
        <w:rPr>
          <w:rFonts w:ascii="Arial" w:cs="Arial" w:eastAsia="Arial" w:hAnsi="Arial"/>
          <w:sz w:val="24"/>
          <w:szCs w:val="24"/>
        </w:rPr>
        <w:t xml:space="preserve">101. Распределение средств из республиканского бюджета осуществляется по двум группам:</w:t>
      </w:r>
    </w:p>
    <w:p>
      <w:pPr>
        <w:spacing w:after="120"/>
        <w:jc w:val="both"/>
      </w:pPr>
      <w:r>
        <w:rPr>
          <w:rFonts w:ascii="Arial" w:cs="Arial" w:eastAsia="Arial" w:hAnsi="Arial"/>
          <w:sz w:val="24"/>
          <w:szCs w:val="24"/>
        </w:rPr>
        <w:t xml:space="preserve">1) по Фондам развития области - от установленного соответствующим уполномоченным государственным органом по прогнозированию и исполнению бюджета объема средств в республиканском бюджете по данной группе, а также дополнительно согласно решениям Кабинета Министров Кыргызской Республики, за исключением областей, где поступают отчисления на содержание инфраструктуры местного значения от разработчиков крупных месторождений;</w:t>
      </w:r>
    </w:p>
    <w:p>
      <w:pPr>
        <w:spacing w:after="120"/>
        <w:jc w:val="both"/>
      </w:pPr>
      <w:r>
        <w:rPr>
          <w:rFonts w:ascii="Arial" w:cs="Arial" w:eastAsia="Arial" w:hAnsi="Arial"/>
          <w:sz w:val="24"/>
          <w:szCs w:val="24"/>
        </w:rPr>
        <w:t xml:space="preserve">2) по Фондам развития района - каждому району от установленного соответствующим уполномоченным государственным органом по прогнозированию и исполнению бюджета объема средств в республиканском бюджете по данной группе распределяются средства в зависимости от объема доходов (за вычетом активов, обязательств и специальных средств), а также дополнительно согласно решениям Кабинета Министров Кыргызской Республики, за исключением районов, где поступают отчисления на содержание инфраструктуры местного значения от разработчиков крупных месторождений свыше 20000000 (двадцать миллионов) сомов согласно таблице № 4.</w:t>
      </w:r>
    </w:p>
    <w:p>
      <w:pPr>
        <w:spacing w:after="120"/>
        <w:jc w:val="both"/>
      </w:pPr>
      <w:r>
        <w:rPr>
          <w:rFonts w:ascii="Arial" w:cs="Arial" w:eastAsia="Arial" w:hAnsi="Arial"/>
          <w:sz w:val="24"/>
          <w:szCs w:val="24"/>
        </w:rPr>
        <w:t xml:space="preserve">Таблица 4. Размеры средств, выделяемые районным Фондам из республиканского бюджета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53"/>
        <w:gridCol w:w="2709"/>
        <w:gridCol w:w="3416"/>
      </w:tblGrid>
      <w:tr>
        <w:tc>
          <w:tcPr>
            <w:tcW w:type="dxa" w:w="405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Объем доходов районов (где отчисления на содержание инфраструктуры местного значения от разработчиков крупных месторождений менее 20000000 (двадцать миллионов сомов)</w:t>
            </w:r>
          </w:p>
        </w:tc>
        <w:tc>
          <w:tcPr>
            <w:tcW w:type="dxa" w:w="27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средств республиканского бюджета, предоставляемая в Фонд</w:t>
            </w:r>
          </w:p>
        </w:tc>
        <w:tc>
          <w:tcPr>
            <w:tcW w:type="dxa" w:w="34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Дополнительные средства республиканского бюджета, предоставляемые в Фонд, где имеются города районного значения</w:t>
            </w:r>
          </w:p>
        </w:tc>
      </w:tr>
      <w:tr>
        <w:tc>
          <w:tcPr>
            <w:tcW w:type="dxa" w:w="40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Ниже среднего уровня доходов по районам</w:t>
            </w:r>
          </w:p>
        </w:tc>
        <w:tc>
          <w:tcPr>
            <w:tcW w:type="dxa" w:w="27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30000000
 (тридцать миллионов) сомов</w:t>
            </w:r>
          </w:p>
        </w:tc>
        <w:tc>
          <w:tcPr>
            <w:tcW w:type="dxa" w:w="34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5400000
 (пять миллионов четыреста тысяч) сомов</w:t>
            </w:r>
          </w:p>
        </w:tc>
      </w:tr>
      <w:tr>
        <w:tc>
          <w:tcPr>
            <w:tcW w:type="dxa" w:w="40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среднего до высшего уровня доходов по районам</w:t>
            </w:r>
          </w:p>
        </w:tc>
        <w:tc>
          <w:tcPr>
            <w:tcW w:type="dxa" w:w="27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20000000
 (двадцать миллионов) сомов</w:t>
            </w:r>
          </w:p>
        </w:tc>
        <w:tc>
          <w:tcPr>
            <w:tcW w:type="dxa" w:w="34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5400000
 (пять миллионов четыреста тысяч) сомов</w:t>
            </w:r>
          </w:p>
        </w:tc>
      </w:tr>
      <w:tr>
        <w:tc>
          <w:tcPr>
            <w:tcW w:type="dxa" w:w="40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Свыше высшего уровня доходов по районам</w:t>
            </w:r>
          </w:p>
        </w:tc>
        <w:tc>
          <w:tcPr>
            <w:tcW w:type="dxa" w:w="27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20000000
 (двадцать миллионов) сомов</w:t>
            </w:r>
          </w:p>
        </w:tc>
        <w:tc>
          <w:tcPr>
            <w:tcW w:type="dxa" w:w="34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5400000
 (пять миллионов четыреста тысяч) сомов</w:t>
            </w:r>
          </w:p>
        </w:tc>
      </w:tr>
    </w:tbl>
    <w:p>
      <w:pPr>
        <w:spacing w:after="120"/>
        <w:jc w:val="both"/>
      </w:pPr>
      <w:r>
        <w:rPr>
          <w:rFonts w:ascii="Arial" w:cs="Arial" w:eastAsia="Arial" w:hAnsi="Arial"/>
          <w:sz w:val="24"/>
          <w:szCs w:val="24"/>
        </w:rPr>
        <w:t xml:space="preserve"/>
      </w:r>
    </w:p>
    <w:p>
      <w:pPr>
        <w:spacing w:after="120" w:before="120"/>
        <w:jc w:val="both"/>
      </w:pPr>
      <w:r>
        <w:rPr>
          <w:rFonts w:ascii="Arial" w:cs="Arial" w:eastAsia="Arial" w:hAnsi="Arial"/>
          <w:sz w:val="24"/>
          <w:szCs w:val="24"/>
        </w:rPr>
        <w:t xml:space="preserve">102. Объем средств из республиканского бюджета, предоставляемых в Фонды, утверждается Законом Кыргызской Республики о республиканском бюджете.</w:t>
      </w:r>
    </w:p>
    <w:p>
      <w:pPr>
        <w:spacing w:after="120"/>
        <w:jc w:val="both"/>
      </w:pPr>
      <w:r>
        <w:rPr>
          <w:rFonts w:ascii="Arial" w:cs="Arial" w:eastAsia="Arial" w:hAnsi="Arial"/>
          <w:sz w:val="24"/>
          <w:szCs w:val="24"/>
        </w:rPr>
        <w:t xml:space="preserve">103. Уполномоченный государственный орган по прогнозированию и исполнению бюджета ежемесячно утверждает кассовый план, согласно заявкам Фондов. Фонды открывают кассовый план, согласно представленным заявкам и осуществляют финансирование.</w:t>
      </w:r>
    </w:p>
    <w:p>
      <w:pPr>
        <w:spacing w:after="120"/>
        <w:jc w:val="both"/>
      </w:pPr>
      <w:r>
        <w:rPr>
          <w:rFonts w:ascii="Arial" w:cs="Arial" w:eastAsia="Arial" w:hAnsi="Arial"/>
          <w:sz w:val="24"/>
          <w:szCs w:val="24"/>
        </w:rPr>
        <w:t xml:space="preserve">104. Фонд производит своевременное и полное финансирование расходов за счет средств из республиканского бюджета согласно утвержденной смете расходов.</w:t>
      </w:r>
    </w:p>
    <w:p>
      <w:pPr>
        <w:spacing w:after="120"/>
        <w:jc w:val="both"/>
      </w:pPr>
      <w:r>
        <w:rPr>
          <w:rFonts w:ascii="Arial" w:cs="Arial" w:eastAsia="Arial" w:hAnsi="Arial"/>
          <w:sz w:val="24"/>
          <w:szCs w:val="24"/>
        </w:rPr>
        <w:t xml:space="preserve">105. Остатки средств из республиканского бюджета в Фондах по завершению текущего года возвращаются в республиканский бюджет.</w:t>
      </w:r>
    </w:p>
    <w:p>
      <w:pPr>
        <w:spacing w:after="120"/>
        <w:jc w:val="both"/>
      </w:pPr>
      <w:r>
        <w:rPr>
          <w:rFonts w:ascii="Arial" w:cs="Arial" w:eastAsia="Arial" w:hAnsi="Arial"/>
          <w:sz w:val="24"/>
          <w:szCs w:val="24"/>
        </w:rPr>
        <w:t xml:space="preserve">Утвержденные Наблюдательным советом Фонда в текущем году проекты, но не профинансированные, должны быть учтены в годовом бюджете Фонда в планируемом году и профинансированы в первоочередном порядке.</w:t>
      </w:r>
    </w:p>
    <w:p>
      <w:pPr>
        <w:spacing w:after="120"/>
        <w:jc w:val="both"/>
      </w:pPr>
      <w:r>
        <w:rPr>
          <w:rFonts w:ascii="Arial" w:cs="Arial" w:eastAsia="Arial" w:hAnsi="Arial"/>
          <w:sz w:val="24"/>
          <w:szCs w:val="24"/>
        </w:rPr>
        <w:t xml:space="preserve">Глава 9. Конфликт интересов</w:t>
      </w:r>
    </w:p>
    <w:p>
      <w:pPr>
        <w:spacing w:after="120"/>
        <w:jc w:val="both"/>
      </w:pPr>
      <w:r>
        <w:rPr>
          <w:rFonts w:ascii="Arial" w:cs="Arial" w:eastAsia="Arial" w:hAnsi="Arial"/>
          <w:sz w:val="24"/>
          <w:szCs w:val="24"/>
        </w:rPr>
        <w:t xml:space="preserve">106. В случае если члены Наблюдательного совета Фонда, дирекция Фонда имеют личную заинтересованность в каком-либо проекте, рассматриваемом в рамках финансирования за счет средств Фонда, они должны воздержаться от обсуждения соответствующего вопроса и участия в голосовании во время рассмотрения и принятия решения по нему.".</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r>
        <w:rPr>
          <w:rFonts w:ascii="Arial" w:cs="Arial" w:eastAsia="Arial" w:hAnsi="Arial"/>
          <w:sz w:val="24"/>
          <w:szCs w:val="24"/>
        </w:rPr>
        <w:t xml:space="preserve">Приложение 8</w:t>
      </w:r>
    </w:p>
    <w:p>
      <w:pPr>
        <w:spacing w:after="120"/>
        <w:jc w:val="both"/>
      </w:pPr>
      <w:r>
        <w:rPr>
          <w:rFonts w:ascii="Arial" w:cs="Arial" w:eastAsia="Arial" w:hAnsi="Arial"/>
          <w:sz w:val="24"/>
          <w:szCs w:val="24"/>
        </w:rPr>
        <w:t xml:space="preserve">ТИПОВАЯ МЕТОДИКА
 по мониторингу и оценке деятельности Фондов развития регионов Кыргызской Республики</w:t>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1. Понятия, применяемые в настоящей Типовой методике:</w:t>
      </w:r>
    </w:p>
    <w:p>
      <w:pPr>
        <w:spacing w:after="120"/>
        <w:jc w:val="both"/>
      </w:pPr>
      <w:r>
        <w:rPr>
          <w:rFonts w:ascii="Arial" w:cs="Arial" w:eastAsia="Arial" w:hAnsi="Arial"/>
          <w:sz w:val="24"/>
          <w:szCs w:val="24"/>
        </w:rPr>
        <w:t xml:space="preserve">1) </w:t>
      </w:r>
      <w:r>
        <w:rPr>
          <w:rFonts w:ascii="Arial" w:cs="Arial" w:eastAsia="Arial" w:hAnsi="Arial"/>
          <w:b/>
          <w:bCs/>
          <w:sz w:val="24"/>
          <w:szCs w:val="24"/>
        </w:rPr>
        <w:t xml:space="preserve">индикатор</w:t>
      </w:r>
      <w:r>
        <w:rPr>
          <w:rFonts w:ascii="Arial" w:cs="Arial" w:eastAsia="Arial" w:hAnsi="Arial"/>
          <w:sz w:val="24"/>
          <w:szCs w:val="24"/>
        </w:rPr>
        <w:t xml:space="preserve"> - показатель, характеризующий степень достижения какого-либо результата или воздействия;</w:t>
      </w:r>
    </w:p>
    <w:p>
      <w:pPr>
        <w:spacing w:after="120"/>
        <w:jc w:val="both"/>
      </w:pPr>
      <w:r>
        <w:rPr>
          <w:rFonts w:ascii="Arial" w:cs="Arial" w:eastAsia="Arial" w:hAnsi="Arial"/>
          <w:sz w:val="24"/>
          <w:szCs w:val="24"/>
        </w:rPr>
        <w:t xml:space="preserve">2) </w:t>
      </w:r>
      <w:r>
        <w:rPr>
          <w:rFonts w:ascii="Arial" w:cs="Arial" w:eastAsia="Arial" w:hAnsi="Arial"/>
          <w:b/>
          <w:bCs/>
          <w:sz w:val="24"/>
          <w:szCs w:val="24"/>
        </w:rPr>
        <w:t xml:space="preserve">мониторинг</w:t>
      </w:r>
      <w:r>
        <w:rPr>
          <w:rFonts w:ascii="Arial" w:cs="Arial" w:eastAsia="Arial" w:hAnsi="Arial"/>
          <w:sz w:val="24"/>
          <w:szCs w:val="24"/>
        </w:rPr>
        <w:t xml:space="preserve"> - регулярный процесс сбора и анализа информации для отслеживания хода выполнения намеченных планов и проверки соответствия фактических действий/результатов установленным стандартам или нормативам;</w:t>
      </w:r>
    </w:p>
    <w:p>
      <w:pPr>
        <w:spacing w:after="120"/>
        <w:jc w:val="both"/>
      </w:pPr>
      <w:r>
        <w:rPr>
          <w:rFonts w:ascii="Arial" w:cs="Arial" w:eastAsia="Arial" w:hAnsi="Arial"/>
          <w:sz w:val="24"/>
          <w:szCs w:val="24"/>
        </w:rPr>
        <w:t xml:space="preserve">3) </w:t>
      </w:r>
      <w:r>
        <w:rPr>
          <w:rFonts w:ascii="Arial" w:cs="Arial" w:eastAsia="Arial" w:hAnsi="Arial"/>
          <w:b/>
          <w:bCs/>
          <w:sz w:val="24"/>
          <w:szCs w:val="24"/>
        </w:rPr>
        <w:t xml:space="preserve">оценка</w:t>
      </w:r>
      <w:r>
        <w:rPr>
          <w:rFonts w:ascii="Arial" w:cs="Arial" w:eastAsia="Arial" w:hAnsi="Arial"/>
          <w:sz w:val="24"/>
          <w:szCs w:val="24"/>
        </w:rPr>
        <w:t xml:space="preserve"> - результат анализа эффективности, воздействия и устойчивости явлений или показателей с течением времени.</w:t>
      </w:r>
    </w:p>
    <w:p>
      <w:pPr>
        <w:spacing w:after="120"/>
        <w:jc w:val="both"/>
      </w:pPr>
      <w:r>
        <w:rPr>
          <w:rFonts w:ascii="Arial" w:cs="Arial" w:eastAsia="Arial" w:hAnsi="Arial"/>
          <w:sz w:val="24"/>
          <w:szCs w:val="24"/>
        </w:rPr>
        <w:t xml:space="preserve">2. Целью Типовой методики является оказание помощи Дирекциям Фондов и Наблюдательным советам Фондов в проведении эффективного мониторинга и оценки деятельности организации и реализованных проектов. Типовая методика также обеспечит выполнение Фондами требования по мониторингу и оценке (далее - МиО), указанного в Типовом положении.</w:t>
      </w:r>
    </w:p>
    <w:p>
      <w:pPr>
        <w:spacing w:after="120"/>
        <w:jc w:val="both"/>
      </w:pPr>
      <w:r>
        <w:rPr>
          <w:rFonts w:ascii="Arial" w:cs="Arial" w:eastAsia="Arial" w:hAnsi="Arial"/>
          <w:sz w:val="24"/>
          <w:szCs w:val="24"/>
        </w:rPr>
        <w:t xml:space="preserve">3. По итогам МиО Дирекция Фонда, на ежегодной основе не позднее 1 апреля года, следующего за отчетным годом, подготавливает и направляет отчеты в уполномоченный государственный орган по экономическому прогнозированию и в уполномоченный государственный орган по прогнозированию и исполнению бюджета.</w:t>
      </w:r>
    </w:p>
    <w:p>
      <w:pPr>
        <w:spacing w:after="120"/>
        <w:jc w:val="both"/>
      </w:pPr>
      <w:r>
        <w:rPr>
          <w:rFonts w:ascii="Arial" w:cs="Arial" w:eastAsia="Arial" w:hAnsi="Arial"/>
          <w:sz w:val="24"/>
          <w:szCs w:val="24"/>
        </w:rPr>
        <w:t xml:space="preserve">Глава 2. Организация системы мониторинга и оценки</w:t>
      </w:r>
    </w:p>
    <w:p>
      <w:pPr>
        <w:spacing w:after="120"/>
        <w:jc w:val="both"/>
      </w:pPr>
      <w:r>
        <w:rPr>
          <w:rFonts w:ascii="Arial" w:cs="Arial" w:eastAsia="Arial" w:hAnsi="Arial"/>
          <w:sz w:val="24"/>
          <w:szCs w:val="24"/>
        </w:rPr>
        <w:t xml:space="preserve">4. Дирекция Фонда на основе Типовой методики разрабатывает собственную методику проведения мониторинга и оценки, которая утверждается решением Наблюдательного совета Фонда. По представлению дирекции Фонда Наблюдательный совет Фонда утверждает состав мониторинговой группы Фонда. Рекомендуемый состав мониторинговой группы:</w:t>
      </w:r>
    </w:p>
    <w:p>
      <w:pPr>
        <w:spacing w:after="120"/>
        <w:jc w:val="both"/>
      </w:pPr>
      <w:r>
        <w:rPr>
          <w:rFonts w:ascii="Arial" w:cs="Arial" w:eastAsia="Arial" w:hAnsi="Arial"/>
          <w:sz w:val="24"/>
          <w:szCs w:val="24"/>
        </w:rPr>
        <w:t xml:space="preserve">1) представитель Наблюдательного совета Фонда, назначенный руководителем мониторинговой группы решением Наблюдательного совета Фонда;</w:t>
      </w:r>
    </w:p>
    <w:p>
      <w:pPr>
        <w:spacing w:after="120"/>
        <w:jc w:val="both"/>
      </w:pPr>
      <w:r>
        <w:rPr>
          <w:rFonts w:ascii="Arial" w:cs="Arial" w:eastAsia="Arial" w:hAnsi="Arial"/>
          <w:sz w:val="24"/>
          <w:szCs w:val="24"/>
        </w:rPr>
        <w:t xml:space="preserve">2) представитель учредителя Фонда;</w:t>
      </w:r>
    </w:p>
    <w:p>
      <w:pPr>
        <w:spacing w:after="120"/>
        <w:jc w:val="both"/>
      </w:pPr>
      <w:r>
        <w:rPr>
          <w:rFonts w:ascii="Arial" w:cs="Arial" w:eastAsia="Arial" w:hAnsi="Arial"/>
          <w:sz w:val="24"/>
          <w:szCs w:val="24"/>
        </w:rPr>
        <w:t xml:space="preserve">3) представитель Наблюдательного совета Фонда, делегированный в состав мониторинговой группы решением Наблюдательного совета Фонда, представляющий государственные органы, или органы местного самоуправления;</w:t>
      </w:r>
    </w:p>
    <w:p>
      <w:pPr>
        <w:spacing w:after="120"/>
        <w:jc w:val="both"/>
      </w:pPr>
      <w:r>
        <w:rPr>
          <w:rFonts w:ascii="Arial" w:cs="Arial" w:eastAsia="Arial" w:hAnsi="Arial"/>
          <w:sz w:val="24"/>
          <w:szCs w:val="24"/>
        </w:rPr>
        <w:t xml:space="preserve">4) представитель Наблюдательного совета Фонда, делегированный в состав мониторинговой группы решением Наблюдательного совета Фонда, представляющий коммерческие, или некоммерческие организации;</w:t>
      </w:r>
    </w:p>
    <w:p>
      <w:pPr>
        <w:spacing w:after="120"/>
        <w:jc w:val="both"/>
      </w:pPr>
      <w:r>
        <w:rPr>
          <w:rFonts w:ascii="Arial" w:cs="Arial" w:eastAsia="Arial" w:hAnsi="Arial"/>
          <w:sz w:val="24"/>
          <w:szCs w:val="24"/>
        </w:rPr>
        <w:t xml:space="preserve">5) представитель дирекции Фонда, делегированный в состав мониторинговой группы распоряжением исполнительного директора Фонда.</w:t>
      </w:r>
    </w:p>
    <w:p>
      <w:pPr>
        <w:spacing w:after="120"/>
        <w:jc w:val="both"/>
      </w:pPr>
      <w:r>
        <w:rPr>
          <w:rFonts w:ascii="Arial" w:cs="Arial" w:eastAsia="Arial" w:hAnsi="Arial"/>
          <w:sz w:val="24"/>
          <w:szCs w:val="24"/>
        </w:rPr>
        <w:t xml:space="preserve">5. Члены мониторинговой группы имеют право свободного доступа к информации и документам Фонда.</w:t>
      </w:r>
    </w:p>
    <w:p>
      <w:pPr>
        <w:spacing w:after="120"/>
        <w:jc w:val="both"/>
      </w:pPr>
      <w:r>
        <w:rPr>
          <w:rFonts w:ascii="Arial" w:cs="Arial" w:eastAsia="Arial" w:hAnsi="Arial"/>
          <w:sz w:val="24"/>
          <w:szCs w:val="24"/>
        </w:rPr>
        <w:t xml:space="preserve">6. Руководитель мониторинговой группы распределяет поручения членам мониторинговой группы по сбору и анализу индикаторов мониторинга и оценки.</w:t>
      </w:r>
    </w:p>
    <w:p>
      <w:pPr>
        <w:spacing w:after="120"/>
        <w:jc w:val="both"/>
      </w:pPr>
      <w:r>
        <w:rPr>
          <w:rFonts w:ascii="Arial" w:cs="Arial" w:eastAsia="Arial" w:hAnsi="Arial"/>
          <w:sz w:val="24"/>
          <w:szCs w:val="24"/>
        </w:rPr>
        <w:t xml:space="preserve">7. Мониторинговая группа в срок до 31 декабря разрабатывает план проведения мониторинга и оценки на следующий год.</w:t>
      </w:r>
    </w:p>
    <w:p>
      <w:pPr>
        <w:spacing w:after="120"/>
        <w:jc w:val="both"/>
      </w:pPr>
      <w:r>
        <w:rPr>
          <w:rFonts w:ascii="Arial" w:cs="Arial" w:eastAsia="Arial" w:hAnsi="Arial"/>
          <w:sz w:val="24"/>
          <w:szCs w:val="24"/>
        </w:rPr>
        <w:t xml:space="preserve">8. План мониторинга утверждает исполнительный директор Фонда. Форма плана мониторинга и оценки представлена в приложении 1 к настоящей Типовой методике.</w:t>
      </w:r>
    </w:p>
    <w:p>
      <w:pPr>
        <w:spacing w:after="120"/>
        <w:jc w:val="both"/>
      </w:pPr>
      <w:r>
        <w:rPr>
          <w:rFonts w:ascii="Arial" w:cs="Arial" w:eastAsia="Arial" w:hAnsi="Arial"/>
          <w:sz w:val="24"/>
          <w:szCs w:val="24"/>
        </w:rPr>
        <w:t xml:space="preserve">Глава 3. Цели и виды мониторинга и оценки</w:t>
      </w:r>
    </w:p>
    <w:p>
      <w:pPr>
        <w:spacing w:after="120"/>
        <w:jc w:val="both"/>
      </w:pPr>
      <w:r>
        <w:rPr>
          <w:rFonts w:ascii="Arial" w:cs="Arial" w:eastAsia="Arial" w:hAnsi="Arial"/>
          <w:sz w:val="24"/>
          <w:szCs w:val="24"/>
        </w:rPr>
        <w:t xml:space="preserve">9. Целью мониторинга и оценки является - отслеживание и дача оценки деятельности Фондов и реализованным проектам в режиме реального времени, на предмет достижения поставленных целей в рамках выделенных финансовых средств.</w:t>
      </w:r>
    </w:p>
    <w:p>
      <w:pPr>
        <w:spacing w:after="120"/>
        <w:jc w:val="both"/>
      </w:pPr>
      <w:r>
        <w:rPr>
          <w:rFonts w:ascii="Arial" w:cs="Arial" w:eastAsia="Arial" w:hAnsi="Arial"/>
          <w:sz w:val="24"/>
          <w:szCs w:val="24"/>
        </w:rPr>
        <w:t xml:space="preserve">10. Основное предназначение мониторинга и оценки - давать информацию о принятии управленческих решений. Информация должна быть достаточной, достоверной, своевременной, надежной.</w:t>
      </w:r>
    </w:p>
    <w:p>
      <w:pPr>
        <w:spacing w:after="120"/>
        <w:jc w:val="both"/>
      </w:pPr>
      <w:r>
        <w:rPr>
          <w:rFonts w:ascii="Arial" w:cs="Arial" w:eastAsia="Arial" w:hAnsi="Arial"/>
          <w:sz w:val="24"/>
          <w:szCs w:val="24"/>
        </w:rPr>
        <w:t xml:space="preserve">11. Мониторинг отвечает на вопрос "что произошло?", и "какие отклонения выявлены по сравнению с первоначальным или намеченным (без анализа ситуации)?".</w:t>
      </w:r>
    </w:p>
    <w:p>
      <w:pPr>
        <w:spacing w:after="120"/>
        <w:jc w:val="both"/>
      </w:pPr>
      <w:r>
        <w:rPr>
          <w:rFonts w:ascii="Arial" w:cs="Arial" w:eastAsia="Arial" w:hAnsi="Arial"/>
          <w:sz w:val="24"/>
          <w:szCs w:val="24"/>
        </w:rPr>
        <w:t xml:space="preserve">Оценка отвечает на вопрос "как были достигнуты результаты?", "почему произошли отклонения?" и "как можно исправить ошибки (с анализом ситуации)?".</w:t>
      </w:r>
    </w:p>
    <w:p>
      <w:pPr>
        <w:spacing w:after="120"/>
        <w:jc w:val="both"/>
      </w:pPr>
      <w:r>
        <w:rPr>
          <w:rFonts w:ascii="Arial" w:cs="Arial" w:eastAsia="Arial" w:hAnsi="Arial"/>
          <w:sz w:val="24"/>
          <w:szCs w:val="24"/>
        </w:rPr>
        <w:t xml:space="preserve">12. В соответствии с требованиями Типового положения (глава 7 Типового положения) определены следующие виды МиО:</w:t>
      </w:r>
    </w:p>
    <w:p>
      <w:pPr>
        <w:spacing w:after="120"/>
        <w:jc w:val="both"/>
      </w:pPr>
      <w:r>
        <w:rPr>
          <w:rFonts w:ascii="Arial" w:cs="Arial" w:eastAsia="Arial" w:hAnsi="Arial"/>
          <w:sz w:val="24"/>
          <w:szCs w:val="24"/>
        </w:rPr>
        <w:t xml:space="preserve">1) соответствие деятельности Фонда установленным правилам и процедурам;</w:t>
      </w:r>
    </w:p>
    <w:p>
      <w:pPr>
        <w:spacing w:after="120"/>
        <w:jc w:val="both"/>
      </w:pPr>
      <w:r>
        <w:rPr>
          <w:rFonts w:ascii="Arial" w:cs="Arial" w:eastAsia="Arial" w:hAnsi="Arial"/>
          <w:sz w:val="24"/>
          <w:szCs w:val="24"/>
        </w:rPr>
        <w:t xml:space="preserve">2) соблюдение целевого использования финансовых средств;</w:t>
      </w:r>
    </w:p>
    <w:p>
      <w:pPr>
        <w:spacing w:after="120"/>
        <w:jc w:val="both"/>
      </w:pPr>
      <w:r>
        <w:rPr>
          <w:rFonts w:ascii="Arial" w:cs="Arial" w:eastAsia="Arial" w:hAnsi="Arial"/>
          <w:sz w:val="24"/>
          <w:szCs w:val="24"/>
        </w:rPr>
        <w:t xml:space="preserve">3) оценка эффективности выполнения проектов;</w:t>
      </w:r>
    </w:p>
    <w:p>
      <w:pPr>
        <w:spacing w:after="120"/>
        <w:jc w:val="both"/>
      </w:pPr>
      <w:r>
        <w:rPr>
          <w:rFonts w:ascii="Arial" w:cs="Arial" w:eastAsia="Arial" w:hAnsi="Arial"/>
          <w:sz w:val="24"/>
          <w:szCs w:val="24"/>
        </w:rPr>
        <w:t xml:space="preserve">4) соблюдения процедур и норм бюджетного законодательства Кыргызской Республики.</w:t>
      </w:r>
    </w:p>
    <w:p>
      <w:pPr>
        <w:spacing w:after="120"/>
        <w:jc w:val="both"/>
      </w:pPr>
      <w:r>
        <w:rPr>
          <w:rFonts w:ascii="Arial" w:cs="Arial" w:eastAsia="Arial" w:hAnsi="Arial"/>
          <w:sz w:val="24"/>
          <w:szCs w:val="24"/>
        </w:rPr>
        <w:t xml:space="preserve">13. Определены типовые этапы подготовки системы МиО (см. диаграмму 1).</w:t>
      </w:r>
    </w:p>
    <w:p>
      <w:pPr>
        <w:spacing w:after="120"/>
        <w:jc w:val="both"/>
      </w:pPr>
      <w:r>
        <w:rPr>
          <w:rFonts w:ascii="Arial" w:cs="Arial" w:eastAsia="Arial" w:hAnsi="Arial"/>
          <w:sz w:val="24"/>
          <w:szCs w:val="24"/>
        </w:rPr>
        <w:t xml:space="preserve">Диаграмма 1. Этапы подготовки системы МиО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before="120"/>
        <w:jc w:val="both"/>
      </w:pPr>
      <w:r>
        <w:rPr>
          <w:rFonts w:ascii="Arial" w:cs="Arial" w:eastAsia="Arial" w:hAnsi="Arial"/>
          <w:sz w:val="24"/>
          <w:szCs w:val="24"/>
        </w:rPr>
        <w:t xml:space="preserve">14. Индикатор служит средством измерения каких-либо достижений. Он отражает изменения, происходящие в результате работы Фонда, или при реализации проекта. Индикатор позволяет ответить на вопрос, насколько достигнута цель, то есть сравнивает реальные результаты с запланированными.</w:t>
      </w:r>
    </w:p>
    <w:p>
      <w:pPr>
        <w:spacing w:after="120"/>
        <w:jc w:val="both"/>
      </w:pPr>
      <w:r>
        <w:rPr>
          <w:rFonts w:ascii="Arial" w:cs="Arial" w:eastAsia="Arial" w:hAnsi="Arial"/>
          <w:sz w:val="24"/>
          <w:szCs w:val="24"/>
        </w:rPr>
        <w:t xml:space="preserve">15. Для формирования системы МиО рекомендуется использовать следующие типы индикаторов:</w:t>
      </w:r>
    </w:p>
    <w:p>
      <w:pPr>
        <w:spacing w:after="120"/>
        <w:jc w:val="both"/>
      </w:pPr>
      <w:r>
        <w:rPr>
          <w:rFonts w:ascii="Arial" w:cs="Arial" w:eastAsia="Arial" w:hAnsi="Arial"/>
          <w:sz w:val="24"/>
          <w:szCs w:val="24"/>
        </w:rPr>
        <w:t xml:space="preserve">- индикаторы процесса - отражают информацию о том, как выполняются определенные действия, отраженные в плане по времени и по факту исполнения;</w:t>
      </w:r>
    </w:p>
    <w:p>
      <w:pPr>
        <w:spacing w:after="120"/>
        <w:jc w:val="both"/>
      </w:pPr>
      <w:r>
        <w:rPr>
          <w:rFonts w:ascii="Arial" w:cs="Arial" w:eastAsia="Arial" w:hAnsi="Arial"/>
          <w:sz w:val="24"/>
          <w:szCs w:val="24"/>
        </w:rPr>
        <w:t xml:space="preserve">- индикаторы результатов - отражают информацию о достижении результата по завершению действия, или на его промежуточном этапе;</w:t>
      </w:r>
    </w:p>
    <w:p>
      <w:pPr>
        <w:spacing w:after="120"/>
        <w:jc w:val="both"/>
      </w:pPr>
      <w:r>
        <w:rPr>
          <w:rFonts w:ascii="Arial" w:cs="Arial" w:eastAsia="Arial" w:hAnsi="Arial"/>
          <w:sz w:val="24"/>
          <w:szCs w:val="24"/>
        </w:rPr>
        <w:t xml:space="preserve">- индикаторы воздействия - показывают влияние, которое оказано на определенный объект в результате деятельности субъекта, или реализации какого-либо проекта.</w:t>
      </w:r>
    </w:p>
    <w:p>
      <w:pPr>
        <w:spacing w:after="120"/>
        <w:jc w:val="both"/>
      </w:pPr>
      <w:r>
        <w:rPr>
          <w:rFonts w:ascii="Arial" w:cs="Arial" w:eastAsia="Arial" w:hAnsi="Arial"/>
          <w:sz w:val="24"/>
          <w:szCs w:val="24"/>
        </w:rPr>
        <w:t xml:space="preserve">16. В рамках настоящей Типовой методики также будут применяться количественные и качественные индикаторы:</w:t>
      </w:r>
    </w:p>
    <w:p>
      <w:pPr>
        <w:spacing w:after="120"/>
        <w:jc w:val="both"/>
      </w:pPr>
      <w:r>
        <w:rPr>
          <w:rFonts w:ascii="Arial" w:cs="Arial" w:eastAsia="Arial" w:hAnsi="Arial"/>
          <w:sz w:val="24"/>
          <w:szCs w:val="24"/>
        </w:rPr>
        <w:t xml:space="preserve">- количественные индикаторы - индикаторы, которые применяются для мониторинга и оценки количественных характеристик, например: объем выделенных средств, число проектов, объем задолженностей;</w:t>
      </w:r>
    </w:p>
    <w:p>
      <w:pPr>
        <w:spacing w:after="120"/>
        <w:jc w:val="both"/>
      </w:pPr>
      <w:r>
        <w:rPr>
          <w:rFonts w:ascii="Arial" w:cs="Arial" w:eastAsia="Arial" w:hAnsi="Arial"/>
          <w:sz w:val="24"/>
          <w:szCs w:val="24"/>
        </w:rPr>
        <w:t xml:space="preserve">- качественные индикаторы - отражают качественные характеристики, например в виде: степени удовлетворенности, восприятия, отношения к чему-либо.</w:t>
      </w:r>
    </w:p>
    <w:p>
      <w:pPr>
        <w:spacing w:after="120"/>
        <w:jc w:val="both"/>
      </w:pPr>
      <w:r>
        <w:rPr>
          <w:rFonts w:ascii="Arial" w:cs="Arial" w:eastAsia="Arial" w:hAnsi="Arial"/>
          <w:sz w:val="24"/>
          <w:szCs w:val="24"/>
        </w:rPr>
        <w:t xml:space="preserve">17. Каждый индикатор оценивается в сравнении с плановым показателем. Значение планового показателя приравнивается к 100%. Индикатор оценивается как соотношение фактического к плановому показателю. Наименование индикаторов и их плановые значения являются едиными для всех Фондов.</w:t>
      </w:r>
    </w:p>
    <w:p>
      <w:pPr>
        <w:spacing w:after="120"/>
        <w:jc w:val="both"/>
      </w:pPr>
      <w:r>
        <w:rPr>
          <w:rFonts w:ascii="Arial" w:cs="Arial" w:eastAsia="Arial" w:hAnsi="Arial"/>
          <w:sz w:val="24"/>
          <w:szCs w:val="24"/>
        </w:rPr>
        <w:t xml:space="preserve">18. По каждой группе индикаторов рассчитывается среднее значение. В таблице 1 приведен пример проведения оценки индикаторов.</w:t>
      </w:r>
    </w:p>
    <w:p>
      <w:pPr>
        <w:spacing w:after="120"/>
        <w:jc w:val="both"/>
      </w:pPr>
      <w:r>
        <w:rPr>
          <w:rFonts w:ascii="Arial" w:cs="Arial" w:eastAsia="Arial" w:hAnsi="Arial"/>
          <w:sz w:val="24"/>
          <w:szCs w:val="24"/>
        </w:rPr>
        <w:t xml:space="preserve">Таблица 1. Перечень индикаторов соответствия деятельности Фонда установленным правилам и процедурам(*)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3039"/>
        <w:gridCol w:w="2359"/>
        <w:gridCol w:w="2257"/>
        <w:gridCol w:w="2220"/>
      </w:tblGrid>
      <w:tr>
        <w:tc>
          <w:tcPr>
            <w:tcW w:type="dxa" w:w="3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0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индикатора</w:t>
            </w:r>
          </w:p>
        </w:tc>
        <w:tc>
          <w:tcPr>
            <w:tcW w:type="dxa" w:w="23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Плановое значение</w:t>
            </w:r>
          </w:p>
        </w:tc>
        <w:tc>
          <w:tcPr>
            <w:tcW w:type="dxa" w:w="22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Фактическое значение</w:t>
            </w:r>
          </w:p>
        </w:tc>
        <w:tc>
          <w:tcPr>
            <w:tcW w:type="dxa" w:w="22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Оценка индикатора
 </w:t>
            </w:r>
            <w:r>
              <w:rPr>
                <w:rFonts w:ascii="Arial" w:cs="Arial" w:eastAsia="Arial" w:hAnsi="Arial"/>
                <w:sz w:val="24"/>
                <w:szCs w:val="24"/>
              </w:rPr>
              <w:t xml:space="preserve">(Фактическое значение/Плановое значение)*100%</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мониторинговых визитов со стороны Фонда в реализуемые проекты</w:t>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20% от общего числа реализуемых проектов (100%)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26% от общего числа проектов проводился мониторинг</w:t>
            </w:r>
          </w:p>
        </w:tc>
        <w:tc>
          <w:tcPr>
            <w:tcW w:type="dxa" w:w="2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26/20*100%=130%</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постоянной основе опубликование и обновление информации о работе Фонда</w:t>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4 раз в год (100%)</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обновление</w:t>
            </w:r>
          </w:p>
        </w:tc>
        <w:tc>
          <w:tcPr>
            <w:tcW w:type="dxa" w:w="2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¼*100=25%</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оценка индикатора</w:t>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(130%+25%)/2=78%</w:t>
            </w:r>
          </w:p>
        </w:tc>
      </w:tr>
    </w:tbl>
    <w:p>
      <w:pPr>
        <w:spacing w:after="120" w:before="120"/>
        <w:jc w:val="both"/>
      </w:pPr>
      <w:r>
        <w:rPr>
          <w:rFonts w:ascii="Arial" w:cs="Arial" w:eastAsia="Arial" w:hAnsi="Arial"/>
          <w:sz w:val="24"/>
          <w:szCs w:val="24"/>
        </w:rPr>
        <w:t xml:space="preserve">(*) Пример.</w:t>
      </w:r>
    </w:p>
    <w:p>
      <w:pPr>
        <w:spacing w:after="120"/>
        <w:jc w:val="both"/>
      </w:pPr>
      <w:r>
        <w:rPr>
          <w:rFonts w:ascii="Arial" w:cs="Arial" w:eastAsia="Arial" w:hAnsi="Arial"/>
          <w:sz w:val="24"/>
          <w:szCs w:val="24"/>
        </w:rPr>
        <w:t xml:space="preserve">3.1. Соответствие деятельности Фонда установленным правилам и процедурам</w:t>
      </w:r>
    </w:p>
    <w:p>
      <w:pPr>
        <w:spacing w:after="120"/>
        <w:jc w:val="both"/>
      </w:pPr>
      <w:r>
        <w:rPr>
          <w:rFonts w:ascii="Arial" w:cs="Arial" w:eastAsia="Arial" w:hAnsi="Arial"/>
          <w:sz w:val="24"/>
          <w:szCs w:val="24"/>
        </w:rPr>
        <w:t xml:space="preserve">19. Индикаторы оценивают соответствие процедур по приему, оценке, утверждению, финансированию проектов подаваемых заявителями в адрес Фонда, процедурам, указанным в Типовом положении.</w:t>
      </w:r>
    </w:p>
    <w:p>
      <w:pPr>
        <w:spacing w:after="120"/>
        <w:jc w:val="both"/>
      </w:pPr>
      <w:r>
        <w:rPr>
          <w:rFonts w:ascii="Arial" w:cs="Arial" w:eastAsia="Arial" w:hAnsi="Arial"/>
          <w:sz w:val="24"/>
          <w:szCs w:val="24"/>
        </w:rPr>
        <w:t xml:space="preserve">20. Перечень индикаторов, описывающих соблюдение процедур со стороны Фонда, с указанием числовых значений, методов оценки, источников информации, периодичностью оценки представлен в таблице 2.</w:t>
      </w:r>
    </w:p>
    <w:p>
      <w:pPr>
        <w:spacing w:after="120"/>
        <w:jc w:val="both"/>
      </w:pPr>
      <w:r>
        <w:rPr>
          <w:rFonts w:ascii="Arial" w:cs="Arial" w:eastAsia="Arial" w:hAnsi="Arial"/>
          <w:sz w:val="24"/>
          <w:szCs w:val="24"/>
        </w:rPr>
        <w:t xml:space="preserve">21. По каждой группе индикаторов рассчитывается среднее значение.</w:t>
      </w:r>
    </w:p>
    <w:p>
      <w:pPr>
        <w:spacing w:after="120"/>
        <w:jc w:val="both"/>
      </w:pPr>
      <w:r>
        <w:rPr>
          <w:rFonts w:ascii="Arial" w:cs="Arial" w:eastAsia="Arial" w:hAnsi="Arial"/>
          <w:sz w:val="24"/>
          <w:szCs w:val="24"/>
        </w:rPr>
        <w:t xml:space="preserve">Таблица 2. Перечень индикаторов соответствия деятельности Фонда установленным правилам и процедурам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3565"/>
        <w:gridCol w:w="2124"/>
        <w:gridCol w:w="2459"/>
        <w:gridCol w:w="1727"/>
      </w:tblGrid>
      <w:tr>
        <w:tc>
          <w:tcPr>
            <w:tcW w:type="dxa" w:w="3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5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индикатора</w:t>
            </w:r>
          </w:p>
        </w:tc>
        <w:tc>
          <w:tcPr>
            <w:tcW w:type="dxa" w:w="21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Плановое значение</w:t>
            </w:r>
          </w:p>
        </w:tc>
        <w:tc>
          <w:tcPr>
            <w:tcW w:type="dxa" w:w="24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Фактическое значение</w:t>
            </w:r>
          </w:p>
        </w:tc>
        <w:tc>
          <w:tcPr>
            <w:tcW w:type="dxa" w:w="17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Оценка индикатора
 </w:t>
            </w:r>
            <w:r>
              <w:rPr>
                <w:rFonts w:ascii="Arial" w:cs="Arial" w:eastAsia="Arial" w:hAnsi="Arial"/>
                <w:sz w:val="24"/>
                <w:szCs w:val="24"/>
              </w:rPr>
              <w:t xml:space="preserve">(Фактическое значение/Плановое значение)*100%</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мониторинговых визитов со стороны Фонда в реализуемые проекты</w:t>
            </w:r>
          </w:p>
        </w:tc>
        <w:tc>
          <w:tcPr>
            <w:tcW w:type="dxa" w:w="21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20% от общего числа реализуемых проектов (100%)</w:t>
            </w:r>
          </w:p>
        </w:tc>
        <w:tc>
          <w:tcPr>
            <w:tcW w:type="dxa" w:w="2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фактически проведенных мониторинговых визитов от планового значения (%)</w:t>
            </w:r>
          </w:p>
        </w:tc>
        <w:tc>
          <w:tcPr>
            <w:tcW w:type="dxa" w:w="1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в составе Наблюдательного совета Фонда представителей коммерческих и некоммерческих организаций</w:t>
            </w:r>
          </w:p>
        </w:tc>
        <w:tc>
          <w:tcPr>
            <w:tcW w:type="dxa" w:w="21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30% от числа членов Наблюдательного совета (100%)</w:t>
            </w:r>
          </w:p>
        </w:tc>
        <w:tc>
          <w:tcPr>
            <w:tcW w:type="dxa" w:w="2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Фактическая доля представителей коммерческого и некоммерческого сектора в составе Наблюдательного совета (%)</w:t>
            </w:r>
          </w:p>
        </w:tc>
        <w:tc>
          <w:tcPr>
            <w:tcW w:type="dxa" w:w="1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удовлетворенности органов МСУ и государственных органов деятельностью Фонда (Методика проведения МиО качественных индикаторов приведена в приложении 2 к настоящей Типовой методике)</w:t>
            </w:r>
          </w:p>
        </w:tc>
        <w:tc>
          <w:tcPr>
            <w:tcW w:type="dxa" w:w="21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50% опрошенных оценили работу Фонда на оценку "отлично", "хорошо" (100%)</w:t>
            </w:r>
          </w:p>
        </w:tc>
        <w:tc>
          <w:tcPr>
            <w:tcW w:type="dxa" w:w="2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Фактическая доля опрошенных, которые оценили работу Фонда на оценку "отлично", "хорошо" (%)</w:t>
            </w:r>
          </w:p>
        </w:tc>
        <w:tc>
          <w:tcPr>
            <w:tcW w:type="dxa" w:w="1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оценка индикатора</w:t>
            </w:r>
          </w:p>
        </w:tc>
        <w:tc>
          <w:tcPr>
            <w:tcW w:type="dxa" w:w="21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3.2. Соблюдение целевого использования финансовых средств</w:t>
      </w:r>
    </w:p>
    <w:p>
      <w:pPr>
        <w:spacing w:after="120"/>
        <w:jc w:val="both"/>
      </w:pPr>
      <w:r>
        <w:rPr>
          <w:rFonts w:ascii="Arial" w:cs="Arial" w:eastAsia="Arial" w:hAnsi="Arial"/>
          <w:sz w:val="24"/>
          <w:szCs w:val="24"/>
        </w:rPr>
        <w:t xml:space="preserve">22. Индикаторы оценивают способность и ответственность Фонда и исполнителей проекта обеспечить финансирование проекта в соответствии с Планом финансирования и планом работы по проекту.</w:t>
      </w:r>
    </w:p>
    <w:p>
      <w:pPr>
        <w:spacing w:after="120"/>
        <w:jc w:val="both"/>
      </w:pPr>
      <w:r>
        <w:rPr>
          <w:rFonts w:ascii="Arial" w:cs="Arial" w:eastAsia="Arial" w:hAnsi="Arial"/>
          <w:sz w:val="24"/>
          <w:szCs w:val="24"/>
        </w:rPr>
        <w:t xml:space="preserve">23. Перечень индикаторов, описывающих целевое использование финансовых средств представлен в таблице 3.</w:t>
      </w:r>
    </w:p>
    <w:p>
      <w:pPr>
        <w:spacing w:after="120"/>
        <w:jc w:val="both"/>
      </w:pPr>
      <w:r>
        <w:rPr>
          <w:rFonts w:ascii="Arial" w:cs="Arial" w:eastAsia="Arial" w:hAnsi="Arial"/>
          <w:sz w:val="24"/>
          <w:szCs w:val="24"/>
        </w:rPr>
        <w:t xml:space="preserve">Таблица 3. Перечень индикаторов соблюдения целевого использования финансовых средств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3616"/>
        <w:gridCol w:w="2295"/>
        <w:gridCol w:w="2254"/>
        <w:gridCol w:w="1710"/>
      </w:tblGrid>
      <w:tr>
        <w:tc>
          <w:tcPr>
            <w:tcW w:type="dxa" w:w="3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6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индикатора</w:t>
            </w:r>
          </w:p>
        </w:tc>
        <w:tc>
          <w:tcPr>
            <w:tcW w:type="dxa" w:w="22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Плановое значение</w:t>
            </w:r>
          </w:p>
        </w:tc>
        <w:tc>
          <w:tcPr>
            <w:tcW w:type="dxa" w:w="22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Фактическое значение</w:t>
            </w:r>
          </w:p>
        </w:tc>
        <w:tc>
          <w:tcPr>
            <w:tcW w:type="dxa" w:w="17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Оценка индикатора
 </w:t>
            </w:r>
            <w:r>
              <w:rPr>
                <w:rFonts w:ascii="Arial" w:cs="Arial" w:eastAsia="Arial" w:hAnsi="Arial"/>
                <w:sz w:val="24"/>
                <w:szCs w:val="24"/>
              </w:rPr>
              <w:t xml:space="preserve">(Фактическое значение/Плановое значение)*100%</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Соблюдение соотношения между объемом финансирования по экономическим проектам по отношению к общему объему финансирования (показывает, как Фонд выполняет свои решения по финансированию экономических проектов)</w:t>
            </w:r>
          </w:p>
        </w:tc>
        <w:tc>
          <w:tcPr>
            <w:tcW w:type="dxa" w:w="2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финансирования, выделенный решением Наблюдательного совета на экономические проекты (100%)</w:t>
            </w:r>
          </w:p>
        </w:tc>
        <w:tc>
          <w:tcPr>
            <w:tcW w:type="dxa" w:w="2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Фактическое значение объема финансирования по экономическим проектам (%)</w:t>
            </w:r>
          </w:p>
        </w:tc>
        <w:tc>
          <w:tcPr>
            <w:tcW w:type="dxa" w:w="1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проектов, в которых фактическая смета соответствует плановой смете (фактические статьи расходов по смете должны соответствовать плановым расходам по смете)</w:t>
            </w:r>
          </w:p>
        </w:tc>
        <w:tc>
          <w:tcPr>
            <w:tcW w:type="dxa" w:w="2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утвержденных проектов с согласованной сметой (100%)</w:t>
            </w:r>
          </w:p>
        </w:tc>
        <w:tc>
          <w:tcPr>
            <w:tcW w:type="dxa" w:w="2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фактически реализованных проектов от общего числа проектов, в которых есть отклонения от сметы (%)</w:t>
            </w:r>
          </w:p>
        </w:tc>
        <w:tc>
          <w:tcPr>
            <w:tcW w:type="dxa" w:w="1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оценка индикатора</w:t>
            </w:r>
          </w:p>
        </w:tc>
        <w:tc>
          <w:tcPr>
            <w:tcW w:type="dxa" w:w="2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3.3. Оценка эффективности выполнения проектов</w:t>
      </w:r>
    </w:p>
    <w:p>
      <w:pPr>
        <w:spacing w:after="120"/>
        <w:jc w:val="both"/>
      </w:pPr>
      <w:r>
        <w:rPr>
          <w:rFonts w:ascii="Arial" w:cs="Arial" w:eastAsia="Arial" w:hAnsi="Arial"/>
          <w:sz w:val="24"/>
          <w:szCs w:val="24"/>
        </w:rPr>
        <w:t xml:space="preserve">24. Индикаторы оценивают достижение целей и задач завершенных проектов в рамках утвержденных бюджетов.</w:t>
      </w:r>
    </w:p>
    <w:p>
      <w:pPr>
        <w:spacing w:after="120"/>
        <w:jc w:val="both"/>
      </w:pPr>
      <w:r>
        <w:rPr>
          <w:rFonts w:ascii="Arial" w:cs="Arial" w:eastAsia="Arial" w:hAnsi="Arial"/>
          <w:sz w:val="24"/>
          <w:szCs w:val="24"/>
        </w:rPr>
        <w:t xml:space="preserve">25. Индикаторы оценки эффективности выполнения проектов представлены в таблице 4.</w:t>
      </w:r>
    </w:p>
    <w:p>
      <w:pPr>
        <w:spacing w:after="120"/>
        <w:jc w:val="both"/>
      </w:pPr>
      <w:r>
        <w:rPr>
          <w:rFonts w:ascii="Arial" w:cs="Arial" w:eastAsia="Arial" w:hAnsi="Arial"/>
          <w:sz w:val="24"/>
          <w:szCs w:val="24"/>
        </w:rPr>
        <w:t xml:space="preserve">Таблица 4. Индикаторы эффективности выполнения проектов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3807"/>
        <w:gridCol w:w="2288"/>
        <w:gridCol w:w="1810"/>
        <w:gridCol w:w="1969"/>
      </w:tblGrid>
      <w:tr>
        <w:tc>
          <w:tcPr>
            <w:tcW w:type="dxa" w:w="3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8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индикатора</w:t>
            </w:r>
          </w:p>
        </w:tc>
        <w:tc>
          <w:tcPr>
            <w:tcW w:type="dxa" w:w="22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Плановое значение</w:t>
            </w:r>
          </w:p>
        </w:tc>
        <w:tc>
          <w:tcPr>
            <w:tcW w:type="dxa" w:w="18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Фактическое значение</w:t>
            </w:r>
          </w:p>
        </w:tc>
        <w:tc>
          <w:tcPr>
            <w:tcW w:type="dxa" w:w="19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Оценка индикатора </w:t>
            </w:r>
            <w:r>
              <w:rPr>
                <w:rFonts w:ascii="Arial" w:cs="Arial" w:eastAsia="Arial" w:hAnsi="Arial"/>
                <w:sz w:val="24"/>
                <w:szCs w:val="24"/>
              </w:rPr>
              <w:t xml:space="preserve">(Фактическое значение/Плановое значение)*100%</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завершенных проектов (для инфраструктурных проектов завершением является наличие акта ввода объекта в эксплуатацию, для техники, оборудования включение в реестр муниципального имущества)</w:t>
            </w:r>
          </w:p>
        </w:tc>
        <w:tc>
          <w:tcPr>
            <w:tcW w:type="dxa" w:w="2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утвержденных решением Наблюдательного совета Фонда проектов на текущий год (100%)</w:t>
            </w:r>
          </w:p>
        </w:tc>
        <w:tc>
          <w:tcPr>
            <w:tcW w:type="dxa" w:w="1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фактически завершенных проектов</w:t>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проектов, которые достигли всех запланированных индикаторов</w:t>
            </w:r>
          </w:p>
          <w:p>
            <w:pPr>
              <w:jc w:val="left"/>
            </w:pPr>
            <w:r>
              <w:rPr>
                <w:rFonts w:ascii="Arial" w:cs="Arial" w:eastAsia="Arial" w:hAnsi="Arial"/>
                <w:sz w:val="24"/>
                <w:szCs w:val="24"/>
              </w:rPr>
              <w:t xml:space="preserve">(пример: в проекте "Организация секции по футболу" указано, что будет создано 2 рабочих места и 25 детей будет заниматься футболом. Фактически создано 3 рабочих места и занимается 30 детей. Проект достиг своей цели)</w:t>
            </w:r>
          </w:p>
        </w:tc>
        <w:tc>
          <w:tcPr>
            <w:tcW w:type="dxa" w:w="2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Указать число всех реализованных проектов (100%)</w:t>
            </w:r>
          </w:p>
        </w:tc>
        <w:tc>
          <w:tcPr>
            <w:tcW w:type="dxa" w:w="1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Указать число проектов, в которых достигнуты заявленные цели, индикаторы</w:t>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удовлетворенности конечных потребителей результатами реализованных проектов.</w:t>
            </w:r>
          </w:p>
          <w:p>
            <w:pPr>
              <w:jc w:val="left"/>
            </w:pPr>
            <w:r>
              <w:rPr>
                <w:rFonts w:ascii="Arial" w:cs="Arial" w:eastAsia="Arial" w:hAnsi="Arial"/>
                <w:sz w:val="24"/>
                <w:szCs w:val="24"/>
              </w:rPr>
              <w:t xml:space="preserve">(Методика проведения МиО качественных индикаторов приведена в приложении 2 к настоящей Типовой методике)</w:t>
            </w:r>
          </w:p>
        </w:tc>
        <w:tc>
          <w:tcPr>
            <w:tcW w:type="dxa" w:w="2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оценка не ниже 3,5 балла (100%)</w:t>
            </w:r>
          </w:p>
        </w:tc>
        <w:tc>
          <w:tcPr>
            <w:tcW w:type="dxa" w:w="1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Фактическая оценка по итогам анкетирования</w:t>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оценка индикатора</w:t>
            </w:r>
          </w:p>
        </w:tc>
        <w:tc>
          <w:tcPr>
            <w:tcW w:type="dxa" w:w="2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3.4. Соблюдение процедур и норм бюджетного законодательства Кыргызской Республики</w:t>
      </w:r>
    </w:p>
    <w:p>
      <w:pPr>
        <w:spacing w:after="120"/>
        <w:jc w:val="both"/>
      </w:pPr>
      <w:r>
        <w:rPr>
          <w:rFonts w:ascii="Arial" w:cs="Arial" w:eastAsia="Arial" w:hAnsi="Arial"/>
          <w:sz w:val="24"/>
          <w:szCs w:val="24"/>
        </w:rPr>
        <w:t xml:space="preserve">26. Индикаторы оценивают дисциплину, ответственность Фондов и исполнителей проектов в отношении соблюдения норм бюджетного законодательства, в том числе процедур государственных закупок.</w:t>
      </w:r>
    </w:p>
    <w:p>
      <w:pPr>
        <w:spacing w:after="120"/>
        <w:jc w:val="both"/>
      </w:pPr>
      <w:r>
        <w:rPr>
          <w:rFonts w:ascii="Arial" w:cs="Arial" w:eastAsia="Arial" w:hAnsi="Arial"/>
          <w:sz w:val="24"/>
          <w:szCs w:val="24"/>
        </w:rPr>
        <w:t xml:space="preserve">Таблица 5. Индикаторы соблюдения процедур и норм бюджетного законодательства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3366"/>
        <w:gridCol w:w="2019"/>
        <w:gridCol w:w="2754"/>
        <w:gridCol w:w="1736"/>
      </w:tblGrid>
      <w:tr>
        <w:tc>
          <w:tcPr>
            <w:tcW w:type="dxa" w:w="3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3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индикатора</w:t>
            </w:r>
          </w:p>
        </w:tc>
        <w:tc>
          <w:tcPr>
            <w:tcW w:type="dxa" w:w="20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Плановое значение</w:t>
            </w:r>
          </w:p>
        </w:tc>
        <w:tc>
          <w:tcPr>
            <w:tcW w:type="dxa" w:w="27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Фактическое значение</w:t>
            </w:r>
          </w:p>
        </w:tc>
        <w:tc>
          <w:tcPr>
            <w:tcW w:type="dxa" w:w="17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Оценка индикатора
 </w:t>
            </w:r>
            <w:r>
              <w:rPr>
                <w:rFonts w:ascii="Arial" w:cs="Arial" w:eastAsia="Arial" w:hAnsi="Arial"/>
                <w:sz w:val="24"/>
                <w:szCs w:val="24"/>
              </w:rPr>
              <w:t xml:space="preserve">(Фактическое значение/Плановое значение)*100%</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проектов, в которых не выявлено финансовых нарушений по итогам аудита Счетной палаты и другими проверяющими органами за прошедший год</w:t>
            </w:r>
          </w:p>
        </w:tc>
        <w:tc>
          <w:tcPr>
            <w:tcW w:type="dxa" w:w="2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Указать общее число реализованных проектов (100%)</w:t>
            </w:r>
          </w:p>
        </w:tc>
        <w:tc>
          <w:tcPr>
            <w:tcW w:type="dxa" w:w="2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Указать число проектов, по которым есть замечания Счетной палаты и других проверяющих органов</w:t>
            </w:r>
          </w:p>
        </w:tc>
        <w:tc>
          <w:tcPr>
            <w:tcW w:type="dxa" w:w="1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проектов в которых не выявлено нарушений по государственным закупкам, самостоятельно осуществляемых Фондом по итогам проверки проверяющими органами за прошедший год</w:t>
            </w:r>
          </w:p>
        </w:tc>
        <w:tc>
          <w:tcPr>
            <w:tcW w:type="dxa" w:w="2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Указать число проектов, по которым закупки осуществлялись самим Фондом (100%)</w:t>
            </w:r>
          </w:p>
        </w:tc>
        <w:tc>
          <w:tcPr>
            <w:tcW w:type="dxa" w:w="2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проектов, по которым выявлены нарушения со стороны проверяющих органов по отношению к числу проектов, по которым Фонд проводил закупки (%)</w:t>
            </w:r>
          </w:p>
        </w:tc>
        <w:tc>
          <w:tcPr>
            <w:tcW w:type="dxa" w:w="1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оценка индикатора</w:t>
            </w:r>
          </w:p>
        </w:tc>
        <w:tc>
          <w:tcPr>
            <w:tcW w:type="dxa" w:w="2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Глава 4. Статистическая информация о деятельности Фонда</w:t>
      </w:r>
    </w:p>
    <w:p>
      <w:pPr>
        <w:spacing w:after="120"/>
        <w:jc w:val="both"/>
      </w:pPr>
      <w:r>
        <w:rPr>
          <w:rFonts w:ascii="Arial" w:cs="Arial" w:eastAsia="Arial" w:hAnsi="Arial"/>
          <w:sz w:val="24"/>
          <w:szCs w:val="24"/>
        </w:rPr>
        <w:t xml:space="preserve">27. Дирекция Фонда не менее 1 раза в год, не позднее 1 апреля года, следующего за отчетным годом, представляет в уполномоченный государственный орган по экономическому прогнозированию статистическую информацию о деятельности Фонда.</w:t>
      </w:r>
    </w:p>
    <w:p>
      <w:pPr>
        <w:spacing w:after="120"/>
        <w:jc w:val="both"/>
      </w:pPr>
      <w:r>
        <w:rPr>
          <w:rFonts w:ascii="Arial" w:cs="Arial" w:eastAsia="Arial" w:hAnsi="Arial"/>
          <w:sz w:val="24"/>
          <w:szCs w:val="24"/>
        </w:rPr>
        <w:t xml:space="preserve">Перечень статистической информации представлен в приложении 3 к настоящей Типовой методике.</w:t>
      </w:r>
    </w:p>
    <w:p>
      <w:pPr>
        <w:spacing w:after="120"/>
        <w:jc w:val="both"/>
      </w:pPr>
      <w:r>
        <w:rPr>
          <w:rFonts w:ascii="Arial" w:cs="Arial" w:eastAsia="Arial" w:hAnsi="Arial"/>
          <w:sz w:val="24"/>
          <w:szCs w:val="24"/>
        </w:rPr>
        <w:t xml:space="preserve">Глава 5. Отчеты по результатам мониторинга и оценки</w:t>
      </w:r>
    </w:p>
    <w:p>
      <w:pPr>
        <w:spacing w:after="120"/>
        <w:jc w:val="both"/>
      </w:pPr>
      <w:r>
        <w:rPr>
          <w:rFonts w:ascii="Arial" w:cs="Arial" w:eastAsia="Arial" w:hAnsi="Arial"/>
          <w:sz w:val="24"/>
          <w:szCs w:val="24"/>
        </w:rPr>
        <w:t xml:space="preserve">28. Результаты мониторинга оформляются в виде отчета, где отражаются результаты мониторинга и рекомендации по устранению отклонений. Отчет мониторинговой группы заслушивается на заседаниях Наблюдательного совета Фонда не менее 2 раз в год.</w:t>
      </w:r>
    </w:p>
    <w:p>
      <w:pPr>
        <w:spacing w:after="120"/>
        <w:jc w:val="both"/>
      </w:pPr>
      <w:r>
        <w:rPr>
          <w:rFonts w:ascii="Arial" w:cs="Arial" w:eastAsia="Arial" w:hAnsi="Arial"/>
          <w:sz w:val="24"/>
          <w:szCs w:val="24"/>
        </w:rPr>
        <w:t xml:space="preserve">Отчет Фонда по результатам мониторинга и оценки на ежегодной основе, не позднее 1 апреля года, следующего за отчетным годом, направляется в уполномоченный государственный орган по экономическому прогнозированию, а также в уполномоченный государственный орган по прогнозированию и исполнению бюджета.</w:t>
      </w:r>
    </w:p>
    <w:p>
      <w:pPr>
        <w:spacing w:after="120"/>
        <w:jc w:val="both"/>
      </w:pPr>
      <w:r>
        <w:rPr>
          <w:rFonts w:ascii="Arial" w:cs="Arial" w:eastAsia="Arial" w:hAnsi="Arial"/>
          <w:sz w:val="24"/>
          <w:szCs w:val="24"/>
        </w:rPr>
        <w:t xml:space="preserve">Рекомендуемый формат отчета представлен в приложении 4 к настоящей Типовой методике.</w:t>
      </w:r>
    </w:p>
    <w:p>
      <w:pPr>
        <w:spacing w:after="120"/>
        <w:jc w:val="both"/>
      </w:pPr>
      <w:r>
        <w:rPr>
          <w:rFonts w:ascii="Arial" w:cs="Arial" w:eastAsia="Arial" w:hAnsi="Arial"/>
          <w:sz w:val="24"/>
          <w:szCs w:val="24"/>
        </w:rPr>
        <w:t xml:space="preserve">Для визуализации результатов мониторинга и оценки рекомендуется использовать "лепестковую диаграмму" на основе Excel программы.</w:t>
      </w:r>
    </w:p>
    <w:p>
      <w:pPr>
        <w:spacing w:after="120"/>
        <w:jc w:val="both"/>
      </w:pPr>
      <w:r>
        <w:rPr>
          <w:rFonts w:ascii="Arial" w:cs="Arial" w:eastAsia="Arial" w:hAnsi="Arial"/>
          <w:sz w:val="24"/>
          <w:szCs w:val="24"/>
        </w:rPr>
        <w:t xml:space="preserve">Таблица 6. Результаты мониторинга и оценки(*)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49"/>
        <w:gridCol w:w="2829"/>
      </w:tblGrid>
      <w:tr>
        <w:tc>
          <w:tcPr>
            <w:tcW w:type="dxa" w:w="734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группы индикаторов</w:t>
            </w:r>
          </w:p>
        </w:tc>
        <w:tc>
          <w:tcPr>
            <w:tcW w:type="dxa" w:w="28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Средняя оценка индикаторов</w:t>
            </w:r>
          </w:p>
        </w:tc>
      </w:tr>
      <w:tr>
        <w:tc>
          <w:tcPr>
            <w:tcW w:type="dxa" w:w="73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Соответствие деятельности Фонда установленным правилам и процедурам</w:t>
            </w:r>
          </w:p>
        </w:tc>
        <w:tc>
          <w:tcPr>
            <w:tcW w:type="dxa" w:w="28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r>
      <w:tr>
        <w:tc>
          <w:tcPr>
            <w:tcW w:type="dxa" w:w="73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Соблюдение целевого использования финансовых средств</w:t>
            </w:r>
          </w:p>
        </w:tc>
        <w:tc>
          <w:tcPr>
            <w:tcW w:type="dxa" w:w="28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r>
      <w:tr>
        <w:tc>
          <w:tcPr>
            <w:tcW w:type="dxa" w:w="73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Оценка эффективности выполнения проектов</w:t>
            </w:r>
          </w:p>
        </w:tc>
        <w:tc>
          <w:tcPr>
            <w:tcW w:type="dxa" w:w="28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r>
      <w:tr>
        <w:tc>
          <w:tcPr>
            <w:tcW w:type="dxa" w:w="73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Соблюдения процедур и норм бюджетного законодательства Кыргызской Республики</w:t>
            </w:r>
          </w:p>
        </w:tc>
        <w:tc>
          <w:tcPr>
            <w:tcW w:type="dxa" w:w="28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bl>
    <w:p>
      <w:pPr>
        <w:spacing w:after="120" w:before="120"/>
        <w:jc w:val="both"/>
      </w:pPr>
      <w:r>
        <w:rPr>
          <w:rFonts w:ascii="Arial" w:cs="Arial" w:eastAsia="Arial" w:hAnsi="Arial"/>
          <w:sz w:val="24"/>
          <w:szCs w:val="24"/>
        </w:rPr>
        <w:t xml:space="preserve">(*) Пример.</w:t>
      </w:r>
    </w:p>
    <w:p>
      <w:pPr>
        <w:spacing w:after="120"/>
        <w:jc w:val="both"/>
      </w:pPr>
      <w:r>
        <w:rPr>
          <w:rFonts w:ascii="Arial" w:cs="Arial" w:eastAsia="Arial" w:hAnsi="Arial"/>
          <w:sz w:val="24"/>
          <w:szCs w:val="24"/>
        </w:rPr>
        <w:t xml:space="preserve">См. графическую копию рисунка.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Типовой методике</w:t>
      </w:r>
    </w:p>
    <w:p>
      <w:pPr>
        <w:spacing w:after="120"/>
        <w:jc w:val="both"/>
      </w:pPr>
      <w:r>
        <w:rPr>
          <w:rFonts w:ascii="Arial" w:cs="Arial" w:eastAsia="Arial" w:hAnsi="Arial"/>
          <w:sz w:val="24"/>
          <w:szCs w:val="24"/>
        </w:rPr>
        <w:t xml:space="preserve">ПЛАН
 мониторинга и оценки деятельности Фонда развития регионов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1690"/>
        <w:gridCol w:w="1405"/>
        <w:gridCol w:w="1561"/>
        <w:gridCol w:w="794"/>
        <w:gridCol w:w="1476"/>
        <w:gridCol w:w="1555"/>
        <w:gridCol w:w="1394"/>
      </w:tblGrid>
      <w:tr>
        <w:tc>
          <w:tcPr>
            <w:tcW w:type="dxa" w:w="3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6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индикатора</w:t>
            </w:r>
          </w:p>
        </w:tc>
        <w:tc>
          <w:tcPr>
            <w:tcW w:type="dxa" w:w="14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Плановый показатель</w:t>
            </w:r>
          </w:p>
        </w:tc>
        <w:tc>
          <w:tcPr>
            <w:tcW w:type="dxa" w:w="15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Фактический показатель</w:t>
            </w:r>
          </w:p>
        </w:tc>
        <w:tc>
          <w:tcPr>
            <w:tcW w:type="dxa" w:w="7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Метод МиО</w:t>
            </w:r>
          </w:p>
        </w:tc>
        <w:tc>
          <w:tcPr>
            <w:tcW w:type="dxa" w:w="14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 информации</w:t>
            </w:r>
          </w:p>
        </w:tc>
        <w:tc>
          <w:tcPr>
            <w:tcW w:type="dxa" w:w="15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Период проведения МиО</w:t>
            </w:r>
          </w:p>
        </w:tc>
        <w:tc>
          <w:tcPr>
            <w:tcW w:type="dxa" w:w="13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Ответственное лицо</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Соответствие деятельности Фонда установленным правилам и процедурам</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Соблюдение целевого использования финансовых средств</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 Оценка эффективности выполнения проектов</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 Соблюдение процедур и норм бюджетного законодательства Кыргызской Республики</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
 к Типовой методике</w:t>
      </w:r>
    </w:p>
    <w:p>
      <w:pPr>
        <w:spacing w:after="120"/>
        <w:jc w:val="both"/>
      </w:pPr>
      <w:r>
        <w:rPr>
          <w:rFonts w:ascii="Arial" w:cs="Arial" w:eastAsia="Arial" w:hAnsi="Arial"/>
          <w:sz w:val="24"/>
          <w:szCs w:val="24"/>
        </w:rPr>
        <w:t xml:space="preserve">МЕТОДИКА
 проведения мониторинга и оценки качественных индикаторов оценки эффективности деятельности Фондов развития регионов</w:t>
      </w:r>
    </w:p>
    <w:p>
      <w:pPr>
        <w:spacing w:after="120"/>
        <w:jc w:val="both"/>
      </w:pPr>
      <w:r>
        <w:rPr>
          <w:rFonts w:ascii="Arial" w:cs="Arial" w:eastAsia="Arial" w:hAnsi="Arial"/>
          <w:sz w:val="24"/>
          <w:szCs w:val="24"/>
        </w:rPr>
        <w:t xml:space="preserve">1. Методика определяет последовательность действий для проведения мониторинга и оценки 2 качественных индикаторов, характеризующих работу Фонда:</w:t>
      </w:r>
    </w:p>
    <w:p>
      <w:pPr>
        <w:spacing w:after="120"/>
        <w:jc w:val="both"/>
      </w:pPr>
      <w:r>
        <w:rPr>
          <w:rFonts w:ascii="Arial" w:cs="Arial" w:eastAsia="Arial" w:hAnsi="Arial"/>
          <w:sz w:val="24"/>
          <w:szCs w:val="24"/>
        </w:rPr>
        <w:t xml:space="preserve">1) степень удовлетворенности органов местного самоуправления и государственных органов деятельностью Фонда;</w:t>
      </w:r>
    </w:p>
    <w:p>
      <w:pPr>
        <w:spacing w:after="120"/>
        <w:jc w:val="both"/>
      </w:pPr>
      <w:r>
        <w:rPr>
          <w:rFonts w:ascii="Arial" w:cs="Arial" w:eastAsia="Arial" w:hAnsi="Arial"/>
          <w:sz w:val="24"/>
          <w:szCs w:val="24"/>
        </w:rPr>
        <w:t xml:space="preserve">2) степень удовлетворенности конечных потребителей результатами реализованных проектов.</w:t>
      </w:r>
    </w:p>
    <w:p>
      <w:pPr>
        <w:spacing w:after="120"/>
        <w:jc w:val="both"/>
      </w:pPr>
      <w:r>
        <w:rPr>
          <w:rFonts w:ascii="Arial" w:cs="Arial" w:eastAsia="Arial" w:hAnsi="Arial"/>
          <w:sz w:val="24"/>
          <w:szCs w:val="24"/>
        </w:rPr>
        <w:t xml:space="preserve">2. Оценка проводится методом анкетирования. Анкеты направляются участникам опроса по электронной почте, посредством электронного сообщения по мобильному телефону, по WhatsApp.</w:t>
      </w:r>
    </w:p>
    <w:p>
      <w:pPr>
        <w:spacing w:after="120"/>
        <w:jc w:val="both"/>
      </w:pPr>
      <w:r>
        <w:rPr>
          <w:rFonts w:ascii="Arial" w:cs="Arial" w:eastAsia="Arial" w:hAnsi="Arial"/>
          <w:sz w:val="24"/>
          <w:szCs w:val="24"/>
        </w:rPr>
        <w:t xml:space="preserve">3. Оценка проводится в период январь-февраль года, следующего за текущим годом. Данные по оценке должны быть готовы и включены в финальный отчет до 31 марта года, следующего за отчетным годом.</w:t>
      </w:r>
    </w:p>
    <w:p>
      <w:pPr>
        <w:spacing w:after="120"/>
        <w:jc w:val="both"/>
      </w:pPr>
      <w:r>
        <w:rPr>
          <w:rFonts w:ascii="Arial" w:cs="Arial" w:eastAsia="Arial" w:hAnsi="Arial"/>
          <w:sz w:val="24"/>
          <w:szCs w:val="24"/>
        </w:rPr>
        <w:t xml:space="preserve">4. Фондам рекомендуется для проведения оценки нанимать независимую компанию, которая имеет опыт проведения опросов и подготовки отчетов. Финансирование работы компании может осуществляться из бюджета Фонда в рамках финансирования консалтинговых услуг, или за счет поддержки международных донорских организаций.</w:t>
      </w:r>
    </w:p>
    <w:p>
      <w:pPr>
        <w:spacing w:after="120"/>
        <w:jc w:val="both"/>
      </w:pPr>
      <w:r>
        <w:rPr>
          <w:rFonts w:ascii="Arial" w:cs="Arial" w:eastAsia="Arial" w:hAnsi="Arial"/>
          <w:sz w:val="24"/>
          <w:szCs w:val="24"/>
        </w:rPr>
        <w:t xml:space="preserve">5. Оценка степени удовлетворенности органов местного самоуправления и государственных органов деятельностью Фонда:</w:t>
      </w:r>
    </w:p>
    <w:p>
      <w:pPr>
        <w:spacing w:after="120"/>
        <w:jc w:val="both"/>
      </w:pPr>
      <w:r>
        <w:rPr>
          <w:rFonts w:ascii="Arial" w:cs="Arial" w:eastAsia="Arial" w:hAnsi="Arial"/>
          <w:sz w:val="24"/>
          <w:szCs w:val="24"/>
        </w:rPr>
        <w:t xml:space="preserve">1) формируется перечень заявителей в виде государственных органов и органов местного самоуправления, с указанием руководителей, или ответственных за проект лиц, которые подавали заявки на финансирование за счет средств Фонда;</w:t>
      </w:r>
    </w:p>
    <w:p>
      <w:pPr>
        <w:spacing w:after="120"/>
        <w:jc w:val="both"/>
      </w:pPr>
      <w:r>
        <w:rPr>
          <w:rFonts w:ascii="Arial" w:cs="Arial" w:eastAsia="Arial" w:hAnsi="Arial"/>
          <w:sz w:val="24"/>
          <w:szCs w:val="24"/>
        </w:rPr>
        <w:t xml:space="preserve">2) по каждому руководителю, или ответственному лицу устанавливаются контактные данные: электронная почта, или номер мобильного телефона;</w:t>
      </w:r>
    </w:p>
    <w:p>
      <w:pPr>
        <w:spacing w:after="120"/>
        <w:jc w:val="both"/>
      </w:pPr>
      <w:r>
        <w:rPr>
          <w:rFonts w:ascii="Arial" w:cs="Arial" w:eastAsia="Arial" w:hAnsi="Arial"/>
          <w:sz w:val="24"/>
          <w:szCs w:val="24"/>
        </w:rPr>
        <w:t xml:space="preserve">3) по контактным данным направляется анкета с опросом. Анкеты направляются адресатам не позднее 1 февраля года, следующего за отчетным годом;</w:t>
      </w:r>
    </w:p>
    <w:p>
      <w:pPr>
        <w:spacing w:after="120"/>
        <w:jc w:val="both"/>
      </w:pPr>
      <w:r>
        <w:rPr>
          <w:rFonts w:ascii="Arial" w:cs="Arial" w:eastAsia="Arial" w:hAnsi="Arial"/>
          <w:sz w:val="24"/>
          <w:szCs w:val="24"/>
        </w:rPr>
        <w:t xml:space="preserve">Таблица 1. Опросная анкета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72"/>
        <w:gridCol w:w="4784"/>
        <w:gridCol w:w="1022"/>
      </w:tblGrid>
      <w:tr>
        <w:tc>
          <w:tcPr>
            <w:tcW w:type="dxa" w:w="437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Вопрос анкеты</w:t>
            </w:r>
          </w:p>
        </w:tc>
        <w:tc>
          <w:tcPr>
            <w:tcW w:type="dxa" w:w="47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Ответы участника</w:t>
            </w:r>
          </w:p>
        </w:tc>
        <w:tc>
          <w:tcPr>
            <w:tcW w:type="dxa" w:w="10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Вес балла</w:t>
            </w:r>
          </w:p>
        </w:tc>
      </w:tr>
      <w:tr>
        <w:tc>
          <w:tcPr>
            <w:tcW w:type="dxa" w:w="437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Насколько Вы удовлетворены деятельностью Фонда развития региона ______________ области/района в прошедшем ______ году</w:t>
            </w:r>
          </w:p>
        </w:tc>
        <w:tc>
          <w:tcPr>
            <w:tcW w:type="dxa" w:w="47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 баллов.</w:t>
            </w:r>
          </w:p>
          <w:p>
            <w:pPr>
              <w:jc w:val="left"/>
            </w:pPr>
            <w:r>
              <w:rPr>
                <w:rFonts w:ascii="Arial" w:cs="Arial" w:eastAsia="Arial" w:hAnsi="Arial"/>
                <w:sz w:val="24"/>
                <w:szCs w:val="24"/>
              </w:rPr>
              <w:t xml:space="preserve">Полностью удовлетворен, Фонд успешно справляется с работой</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vMerge w:val="continue"/>
            <w:tcBorders>
              <w:top w:val="none" w:color="auto" w:sz="0"/>
              <w:left w:val="single" w:color="CBBF9E" w:sz="4"/>
              <w:bottom w:val="single" w:color="CBBF9E" w:sz="4"/>
              <w:right w:val="single" w:color="CBBF9E" w:sz="4"/>
            </w:tcBorders>
          </w:tcPr>
          <w:p/>
        </w:tc>
        <w:tc>
          <w:tcPr>
            <w:tcW w:type="dxa" w:w="47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 балла.</w:t>
            </w:r>
          </w:p>
          <w:p>
            <w:pPr>
              <w:jc w:val="left"/>
            </w:pPr>
            <w:r>
              <w:rPr>
                <w:rFonts w:ascii="Arial" w:cs="Arial" w:eastAsia="Arial" w:hAnsi="Arial"/>
                <w:sz w:val="24"/>
                <w:szCs w:val="24"/>
              </w:rPr>
              <w:t xml:space="preserve">Удовлетворен. Фонд в целом справляется со своей работой</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r>
      <w:tr>
        <w:tc>
          <w:tcPr>
            <w:vMerge w:val="continue"/>
            <w:tcBorders>
              <w:top w:val="none" w:color="auto" w:sz="0"/>
              <w:left w:val="single" w:color="CBBF9E" w:sz="4"/>
              <w:bottom w:val="single" w:color="CBBF9E" w:sz="4"/>
              <w:right w:val="single" w:color="CBBF9E" w:sz="4"/>
            </w:tcBorders>
          </w:tcPr>
          <w:p/>
        </w:tc>
        <w:tc>
          <w:tcPr>
            <w:tcW w:type="dxa" w:w="47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 балла.</w:t>
            </w:r>
          </w:p>
          <w:p>
            <w:pPr>
              <w:jc w:val="left"/>
            </w:pPr>
            <w:r>
              <w:rPr>
                <w:rFonts w:ascii="Arial" w:cs="Arial" w:eastAsia="Arial" w:hAnsi="Arial"/>
                <w:sz w:val="24"/>
                <w:szCs w:val="24"/>
              </w:rPr>
              <w:t xml:space="preserve">В меньшей степени удовлетворен. В работе Фонда есть определенные недостатки</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vMerge w:val="continue"/>
            <w:tcBorders>
              <w:top w:val="none" w:color="auto" w:sz="0"/>
              <w:left w:val="single" w:color="CBBF9E" w:sz="4"/>
              <w:bottom w:val="single" w:color="CBBF9E" w:sz="4"/>
              <w:right w:val="single" w:color="CBBF9E" w:sz="4"/>
            </w:tcBorders>
          </w:tcPr>
          <w:p/>
        </w:tc>
        <w:tc>
          <w:tcPr>
            <w:tcW w:type="dxa" w:w="47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 балла.</w:t>
            </w:r>
          </w:p>
          <w:p>
            <w:pPr>
              <w:jc w:val="left"/>
            </w:pPr>
            <w:r>
              <w:rPr>
                <w:rFonts w:ascii="Arial" w:cs="Arial" w:eastAsia="Arial" w:hAnsi="Arial"/>
                <w:sz w:val="24"/>
                <w:szCs w:val="24"/>
              </w:rPr>
              <w:t xml:space="preserve">Работой Фонда не удовлетворен. В его деятельности много нарушений</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bl>
    <w:p>
      <w:pPr>
        <w:spacing w:after="120" w:before="120"/>
        <w:jc w:val="both"/>
      </w:pPr>
      <w:r>
        <w:rPr>
          <w:rFonts w:ascii="Arial" w:cs="Arial" w:eastAsia="Arial" w:hAnsi="Arial"/>
          <w:sz w:val="24"/>
          <w:szCs w:val="24"/>
        </w:rPr>
        <w:t xml:space="preserve">4) по мере поступления ответы на анкеты фиксируются в Excel таблицах. Ответы принимаются в срок не позднее 1 марта года, следующего за отчетным годом. Количество ответов на анкеты должно быть не менее 70% от числа отправленных анкет;</w:t>
      </w:r>
    </w:p>
    <w:p>
      <w:pPr>
        <w:spacing w:after="120"/>
        <w:jc w:val="both"/>
      </w:pPr>
      <w:r>
        <w:rPr>
          <w:rFonts w:ascii="Arial" w:cs="Arial" w:eastAsia="Arial" w:hAnsi="Arial"/>
          <w:sz w:val="24"/>
          <w:szCs w:val="24"/>
        </w:rPr>
        <w:t xml:space="preserve">5) по завершению приема ответов на анкету рассчитывается среднее значение оценки индикатора степени удовлетворенности органов МСУ и государственных органов деятельностью Фонда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Оср - среднее значение индикатора (в %),</w:t>
      </w:r>
    </w:p>
    <w:p>
      <w:pPr>
        <w:spacing w:after="120"/>
        <w:jc w:val="both"/>
      </w:pPr>
      <w:r>
        <w:rPr>
          <w:rFonts w:ascii="Arial" w:cs="Arial" w:eastAsia="Arial" w:hAnsi="Arial"/>
          <w:sz w:val="24"/>
          <w:szCs w:val="24"/>
        </w:rPr>
        <w:t xml:space="preserve">ƩOi - сумма весов всех полученных ответов (в %),</w:t>
      </w:r>
    </w:p>
    <w:p>
      <w:pPr>
        <w:spacing w:after="120"/>
        <w:jc w:val="both"/>
      </w:pPr>
      <w:r>
        <w:rPr>
          <w:rFonts w:ascii="Arial" w:cs="Arial" w:eastAsia="Arial" w:hAnsi="Arial"/>
          <w:sz w:val="24"/>
          <w:szCs w:val="24"/>
        </w:rPr>
        <w:t xml:space="preserve">Na - количество полученных ответов на анкеты.</w:t>
      </w:r>
    </w:p>
    <w:p>
      <w:pPr>
        <w:spacing w:after="120"/>
        <w:jc w:val="both"/>
      </w:pPr>
      <w:r>
        <w:rPr>
          <w:rFonts w:ascii="Arial" w:cs="Arial" w:eastAsia="Arial" w:hAnsi="Arial"/>
          <w:sz w:val="24"/>
          <w:szCs w:val="24"/>
        </w:rPr>
        <w:t xml:space="preserve">Пример использования Excel таблицы: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2"/>
      </w:tblGrid>
      <w:tr>
        <w:tc>
          <w:tcPr>
            <w:tcW w:type="dxa" w:w="339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Номер анкеты</w:t>
            </w:r>
          </w:p>
        </w:tc>
        <w:tc>
          <w:tcPr>
            <w:tcW w:type="dxa" w:w="33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Полученные ответы</w:t>
            </w:r>
          </w:p>
        </w:tc>
        <w:tc>
          <w:tcPr>
            <w:tcW w:type="dxa" w:w="33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вес балла (%)</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67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Среднее значение индикатора</w:t>
            </w:r>
          </w:p>
        </w:tc>
        <w:tc>
          <w:tcPr>
            <w:tcW w:type="dxa" w:w="3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r>
    </w:tbl>
    <w:p>
      <w:pPr>
        <w:spacing w:after="120" w:before="120"/>
        <w:jc w:val="both"/>
      </w:pPr>
      <w:r>
        <w:rPr>
          <w:rFonts w:ascii="Arial" w:cs="Arial" w:eastAsia="Arial" w:hAnsi="Arial"/>
          <w:sz w:val="24"/>
          <w:szCs w:val="24"/>
        </w:rPr>
        <w:t xml:space="preserve">6. Оценка степени удовлетворенности конечных потребителей результатами реализованных проектов:</w:t>
      </w:r>
    </w:p>
    <w:p>
      <w:pPr>
        <w:spacing w:after="120"/>
        <w:jc w:val="both"/>
      </w:pPr>
      <w:r>
        <w:rPr>
          <w:rFonts w:ascii="Arial" w:cs="Arial" w:eastAsia="Arial" w:hAnsi="Arial"/>
          <w:sz w:val="24"/>
          <w:szCs w:val="24"/>
        </w:rPr>
        <w:t xml:space="preserve">1) из перечня проектов, которые были реализованы в отчетном году выбирается 30% проектов, в числе выбранных проектов должно быть не менее 20% экономических проектов (проекты выбираются по принципу случайной выборки, допускается использовать жребий);</w:t>
      </w:r>
    </w:p>
    <w:p>
      <w:pPr>
        <w:spacing w:after="120"/>
        <w:jc w:val="both"/>
      </w:pPr>
      <w:r>
        <w:rPr>
          <w:rFonts w:ascii="Arial" w:cs="Arial" w:eastAsia="Arial" w:hAnsi="Arial"/>
          <w:sz w:val="24"/>
          <w:szCs w:val="24"/>
        </w:rPr>
        <w:t xml:space="preserve">2) по каждому проекту определяются 3-5 лиц, получающих пользу от этого проекта с контактными данными, вышеназванные лица определяются методом случайной выборки компанией, проводящей оценку (не допускается, чтобы перечень будущих анкетируемых представлялся руководством проекта, как заинтересованным лицом);</w:t>
      </w:r>
    </w:p>
    <w:p>
      <w:pPr>
        <w:spacing w:after="120"/>
        <w:jc w:val="both"/>
      </w:pPr>
      <w:r>
        <w:rPr>
          <w:rFonts w:ascii="Arial" w:cs="Arial" w:eastAsia="Arial" w:hAnsi="Arial"/>
          <w:sz w:val="24"/>
          <w:szCs w:val="24"/>
        </w:rPr>
        <w:t xml:space="preserve">3) по контактным данным направляется анкета с опросом (анкеты направляются адресатам не позднее 1 февраля года, следующего за отчетным годом);</w:t>
      </w:r>
    </w:p>
    <w:p>
      <w:pPr>
        <w:spacing w:after="120"/>
        <w:jc w:val="both"/>
      </w:pPr>
      <w:r>
        <w:rPr>
          <w:rFonts w:ascii="Arial" w:cs="Arial" w:eastAsia="Arial" w:hAnsi="Arial"/>
          <w:sz w:val="24"/>
          <w:szCs w:val="24"/>
        </w:rPr>
        <w:t xml:space="preserve">Таблица 2. Опросная анкета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90"/>
        <w:gridCol w:w="5174"/>
        <w:gridCol w:w="1014"/>
      </w:tblGrid>
      <w:tr>
        <w:tc>
          <w:tcPr>
            <w:tcW w:type="dxa" w:w="399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Вопрос анкеты</w:t>
            </w:r>
          </w:p>
        </w:tc>
        <w:tc>
          <w:tcPr>
            <w:tcW w:type="dxa" w:w="51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Ответы участника</w:t>
            </w:r>
          </w:p>
        </w:tc>
        <w:tc>
          <w:tcPr>
            <w:tcW w:type="dxa" w:w="10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Вес балла</w:t>
            </w:r>
          </w:p>
        </w:tc>
      </w:tr>
      <w:tr>
        <w:tc>
          <w:tcPr>
            <w:tcW w:type="dxa" w:w="399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Насколько Вы удовлетворены результатами проекта ________________, который был профинансирован за счет средств Фонда развития региона ________________ области/района в прошедшем ______ году</w:t>
            </w:r>
          </w:p>
        </w:tc>
        <w:tc>
          <w:tcPr>
            <w:tcW w:type="dxa" w:w="51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 баллов.</w:t>
            </w:r>
          </w:p>
          <w:p>
            <w:pPr>
              <w:jc w:val="left"/>
            </w:pPr>
            <w:r>
              <w:rPr>
                <w:rFonts w:ascii="Arial" w:cs="Arial" w:eastAsia="Arial" w:hAnsi="Arial"/>
                <w:sz w:val="24"/>
                <w:szCs w:val="24"/>
              </w:rPr>
              <w:t xml:space="preserve">Полностью удовлетворен, Проект оказал мне существенную помощь</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vMerge w:val="continue"/>
            <w:tcBorders>
              <w:top w:val="none" w:color="auto" w:sz="0"/>
              <w:left w:val="single" w:color="CBBF9E" w:sz="4"/>
              <w:bottom w:val="single" w:color="CBBF9E" w:sz="4"/>
              <w:right w:val="single" w:color="CBBF9E" w:sz="4"/>
            </w:tcBorders>
          </w:tcPr>
          <w:p/>
        </w:tc>
        <w:tc>
          <w:tcPr>
            <w:tcW w:type="dxa" w:w="51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 балла.</w:t>
            </w:r>
          </w:p>
          <w:p>
            <w:pPr>
              <w:jc w:val="left"/>
            </w:pPr>
            <w:r>
              <w:rPr>
                <w:rFonts w:ascii="Arial" w:cs="Arial" w:eastAsia="Arial" w:hAnsi="Arial"/>
                <w:sz w:val="24"/>
                <w:szCs w:val="24"/>
              </w:rPr>
              <w:t xml:space="preserve">Удовлетворен. Проект в целом справился с поставленными задачами</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r>
      <w:tr>
        <w:tc>
          <w:tcPr>
            <w:vMerge w:val="continue"/>
            <w:tcBorders>
              <w:top w:val="none" w:color="auto" w:sz="0"/>
              <w:left w:val="single" w:color="CBBF9E" w:sz="4"/>
              <w:bottom w:val="single" w:color="CBBF9E" w:sz="4"/>
              <w:right w:val="single" w:color="CBBF9E" w:sz="4"/>
            </w:tcBorders>
          </w:tcPr>
          <w:p/>
        </w:tc>
        <w:tc>
          <w:tcPr>
            <w:tcW w:type="dxa" w:w="51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 балла.</w:t>
            </w:r>
          </w:p>
          <w:p>
            <w:pPr>
              <w:jc w:val="left"/>
            </w:pPr>
            <w:r>
              <w:rPr>
                <w:rFonts w:ascii="Arial" w:cs="Arial" w:eastAsia="Arial" w:hAnsi="Arial"/>
                <w:sz w:val="24"/>
                <w:szCs w:val="24"/>
              </w:rPr>
              <w:t xml:space="preserve">В меньшей степени удовлетворен. В работе Проекта есть определенные недостатки</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vMerge w:val="continue"/>
            <w:tcBorders>
              <w:top w:val="none" w:color="auto" w:sz="0"/>
              <w:left w:val="single" w:color="CBBF9E" w:sz="4"/>
              <w:bottom w:val="single" w:color="CBBF9E" w:sz="4"/>
              <w:right w:val="single" w:color="CBBF9E" w:sz="4"/>
            </w:tcBorders>
          </w:tcPr>
          <w:p/>
        </w:tc>
        <w:tc>
          <w:tcPr>
            <w:tcW w:type="dxa" w:w="51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 балла.</w:t>
            </w:r>
          </w:p>
          <w:p>
            <w:pPr>
              <w:jc w:val="left"/>
            </w:pPr>
            <w:r>
              <w:rPr>
                <w:rFonts w:ascii="Arial" w:cs="Arial" w:eastAsia="Arial" w:hAnsi="Arial"/>
                <w:sz w:val="24"/>
                <w:szCs w:val="24"/>
              </w:rPr>
              <w:t xml:space="preserve">Работой Проекта не удовлетворен. Проект не достиг поставленных целей</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bl>
    <w:p>
      <w:pPr>
        <w:spacing w:after="120" w:before="120"/>
        <w:jc w:val="both"/>
      </w:pPr>
      <w:r>
        <w:rPr>
          <w:rFonts w:ascii="Arial" w:cs="Arial" w:eastAsia="Arial" w:hAnsi="Arial"/>
          <w:sz w:val="24"/>
          <w:szCs w:val="24"/>
        </w:rPr>
        <w:t xml:space="preserve">4) по мере поступления ответы на анкеты фиксируются в Excel таблицах (ответы принимаются в срок не позднее 1 марта года, следующего за отчетным годом);</w:t>
      </w:r>
    </w:p>
    <w:p>
      <w:pPr>
        <w:spacing w:after="120"/>
        <w:jc w:val="both"/>
      </w:pPr>
      <w:r>
        <w:rPr>
          <w:rFonts w:ascii="Arial" w:cs="Arial" w:eastAsia="Arial" w:hAnsi="Arial"/>
          <w:sz w:val="24"/>
          <w:szCs w:val="24"/>
        </w:rPr>
        <w:t xml:space="preserve">5) по завершению приема ответов на анкету рассчитывается среднее значение оценки индикатора степени удовлетворенности конечных потребителей результатами реализованных проектов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Оср - среднее значение индикатора (в %),</w:t>
      </w:r>
    </w:p>
    <w:p>
      <w:pPr>
        <w:spacing w:after="120"/>
        <w:jc w:val="both"/>
      </w:pPr>
      <w:r>
        <w:rPr>
          <w:rFonts w:ascii="Arial" w:cs="Arial" w:eastAsia="Arial" w:hAnsi="Arial"/>
          <w:sz w:val="24"/>
          <w:szCs w:val="24"/>
        </w:rPr>
        <w:t xml:space="preserve">ƩOi - сумма весов всех полученных ответов (в %),</w:t>
      </w:r>
    </w:p>
    <w:p>
      <w:pPr>
        <w:spacing w:after="120"/>
        <w:jc w:val="both"/>
      </w:pPr>
      <w:r>
        <w:rPr>
          <w:rFonts w:ascii="Arial" w:cs="Arial" w:eastAsia="Arial" w:hAnsi="Arial"/>
          <w:sz w:val="24"/>
          <w:szCs w:val="24"/>
        </w:rPr>
        <w:t xml:space="preserve">Na - количество полученных ответов на анкеты.</w:t>
      </w:r>
    </w:p>
    <w:p>
      <w:pPr>
        <w:spacing w:after="120"/>
        <w:jc w:val="both"/>
      </w:pPr>
      <w:r>
        <w:rPr>
          <w:rFonts w:ascii="Arial" w:cs="Arial" w:eastAsia="Arial" w:hAnsi="Arial"/>
          <w:sz w:val="24"/>
          <w:szCs w:val="24"/>
        </w:rPr>
        <w:t xml:space="preserve">Пример, использования Excel таблицы: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2"/>
      </w:tblGrid>
      <w:tr>
        <w:tc>
          <w:tcPr>
            <w:tcW w:type="dxa" w:w="339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Номер анкеты</w:t>
            </w:r>
          </w:p>
        </w:tc>
        <w:tc>
          <w:tcPr>
            <w:tcW w:type="dxa" w:w="33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Полученные ответы</w:t>
            </w:r>
          </w:p>
        </w:tc>
        <w:tc>
          <w:tcPr>
            <w:tcW w:type="dxa" w:w="33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вес балла (%)</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67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Среднее значение индикатора</w:t>
            </w:r>
          </w:p>
        </w:tc>
        <w:tc>
          <w:tcPr>
            <w:tcW w:type="dxa" w:w="3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
 к Типовой методике</w:t>
      </w:r>
    </w:p>
    <w:p>
      <w:pPr>
        <w:spacing w:after="120"/>
        <w:jc w:val="both"/>
      </w:pPr>
      <w:r>
        <w:rPr>
          <w:rFonts w:ascii="Arial" w:cs="Arial" w:eastAsia="Arial" w:hAnsi="Arial"/>
          <w:sz w:val="24"/>
          <w:szCs w:val="24"/>
        </w:rPr>
        <w:t xml:space="preserve">СТАТИСТИЧЕСКАЯ ИНФОРМАЦИЯ
 о деятельности Фонда развития регионов</w:t>
      </w:r>
    </w:p>
    <w:p>
      <w:pPr>
        <w:spacing w:after="120"/>
        <w:jc w:val="both"/>
      </w:pPr>
      <w:r>
        <w:rPr>
          <w:rFonts w:ascii="Arial" w:cs="Arial" w:eastAsia="Arial" w:hAnsi="Arial"/>
          <w:sz w:val="24"/>
          <w:szCs w:val="24"/>
        </w:rPr>
        <w:t xml:space="preserve">Таблица 1. Сводная информация о деятельности Фондов развития регионов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1729"/>
        <w:gridCol w:w="1228"/>
        <w:gridCol w:w="1368"/>
        <w:gridCol w:w="1309"/>
        <w:gridCol w:w="937"/>
        <w:gridCol w:w="1163"/>
        <w:gridCol w:w="1091"/>
        <w:gridCol w:w="1051"/>
      </w:tblGrid>
      <w:tr>
        <w:tc>
          <w:tcPr>
            <w:tcW w:type="dxa" w:w="3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7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Типы проектов</w:t>
            </w:r>
          </w:p>
        </w:tc>
        <w:tc>
          <w:tcPr>
            <w:tcW w:type="dxa" w:w="12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утвержденных проектов в текущем году</w:t>
            </w:r>
          </w:p>
        </w:tc>
        <w:tc>
          <w:tcPr>
            <w:tcW w:type="dxa" w:w="13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Утвержденный объем финансирования
 (млн. сом)</w:t>
            </w:r>
          </w:p>
        </w:tc>
        <w:tc>
          <w:tcPr>
            <w:tcW w:type="dxa" w:w="13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реализованных проектов в текущем году</w:t>
            </w:r>
          </w:p>
        </w:tc>
        <w:tc>
          <w:tcPr>
            <w:tcW w:type="dxa" w:w="9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освоенных средств
 (млн. сом)</w:t>
            </w:r>
          </w:p>
        </w:tc>
        <w:tc>
          <w:tcPr>
            <w:tcW w:type="dxa" w:w="11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переходящих проектов на следующий год</w:t>
            </w:r>
          </w:p>
        </w:tc>
        <w:tc>
          <w:tcPr>
            <w:tcW w:type="dxa" w:w="10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переходящих средств
 (млн. сом)</w:t>
            </w:r>
          </w:p>
        </w:tc>
        <w:tc>
          <w:tcPr>
            <w:tcW w:type="dxa" w:w="10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созданных рабочих мест в текущем году</w:t>
            </w:r>
          </w:p>
        </w:tc>
      </w:tr>
      <w:tr>
        <w:tc>
          <w:tcPr>
            <w:tcW w:type="dxa" w:w="10179"/>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Социальные и инфраструктурные проекты</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Образование</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Школы</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Детские сады</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Здравоохранение</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ФАПы</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ЦСМ</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Культура</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Дома культуры/кинотеатры</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Инвентарь</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Спорт</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Спортивные комплексы/площадки</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Инвентарь</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Социальная защита</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Здания/сооружения</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Техника/оборудование</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Государственно-муниципальное управление</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сооружения</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Техника/оборудование</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Жилищно-коммунальное хозяйство</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Здания/сооружения</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Техника/оборудование</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Чрезвычайные ситуации</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Здания/сооружения</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Техника/оборудование</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Предпринимательство</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Здания/сооружения</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Техника/оборудование</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Прочие</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Экономические проекты</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Проекты, получившие кредиты</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Таблица 2. Описание проектов, реализованных Фондом развития региона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1513"/>
        <w:gridCol w:w="1112"/>
        <w:gridCol w:w="2154"/>
        <w:gridCol w:w="2018"/>
        <w:gridCol w:w="1441"/>
        <w:gridCol w:w="1637"/>
      </w:tblGrid>
      <w:tr>
        <w:tc>
          <w:tcPr>
            <w:tcW w:type="dxa" w:w="3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5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заявителя проекта</w:t>
            </w:r>
          </w:p>
        </w:tc>
        <w:tc>
          <w:tcPr>
            <w:tcW w:type="dxa" w:w="11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Краткое описание проекта</w:t>
            </w:r>
          </w:p>
        </w:tc>
        <w:tc>
          <w:tcPr>
            <w:tcW w:type="dxa" w:w="21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Запланированное финансирование за счет средств Фонда</w:t>
            </w:r>
          </w:p>
        </w:tc>
        <w:tc>
          <w:tcPr>
            <w:tcW w:type="dxa" w:w="20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Фактическое финансирование за счет средств Фонда</w:t>
            </w:r>
          </w:p>
        </w:tc>
        <w:tc>
          <w:tcPr>
            <w:tcW w:type="dxa" w:w="14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созданных рабочих мест</w:t>
            </w:r>
          </w:p>
        </w:tc>
        <w:tc>
          <w:tcPr>
            <w:tcW w:type="dxa" w:w="16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Статус проекта (завершен - не завершен, не начат)</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Социальные и инфраструктурные проекты</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Образование</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Здравоохранение</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Культура</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Спорт</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Социальная защита</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Государственное и муниципальное управление</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Жилищно-коммунальное хозяйство</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Чрезвычайные ситуации</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Создание условий для предпринимательства</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Прочие</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Экономические проекты</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Проекты, получившие кредиты</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
 к Типовой методике</w:t>
      </w:r>
    </w:p>
    <w:p>
      <w:pPr>
        <w:spacing w:after="120"/>
        <w:jc w:val="both"/>
      </w:pPr>
      <w:r>
        <w:rPr>
          <w:rFonts w:ascii="Arial" w:cs="Arial" w:eastAsia="Arial" w:hAnsi="Arial"/>
          <w:sz w:val="24"/>
          <w:szCs w:val="24"/>
        </w:rPr>
        <w:t xml:space="preserve">ФОРМА ОТЧЕТА
 по мониторингу и оценке деятельности Фонда развития региона</w:t>
      </w:r>
    </w:p>
    <w:p>
      <w:pPr>
        <w:spacing w:after="120"/>
        <w:jc w:val="both"/>
      </w:pPr>
      <w:r>
        <w:rPr>
          <w:rFonts w:ascii="Arial" w:cs="Arial" w:eastAsia="Arial" w:hAnsi="Arial"/>
          <w:sz w:val="24"/>
          <w:szCs w:val="24"/>
        </w:rPr>
        <w:t xml:space="preserve">1. Общая информация (не более 1 страницы)</w:t>
      </w:r>
    </w:p>
    <w:p>
      <w:pPr>
        <w:spacing w:after="120"/>
        <w:jc w:val="both"/>
      </w:pPr>
      <w:r>
        <w:rPr>
          <w:rFonts w:ascii="Arial" w:cs="Arial" w:eastAsia="Arial" w:hAnsi="Arial"/>
          <w:sz w:val="24"/>
          <w:szCs w:val="24"/>
        </w:rPr>
        <w:t xml:space="preserve">- информация о Фонде;</w:t>
      </w:r>
    </w:p>
    <w:p>
      <w:pPr>
        <w:spacing w:after="120"/>
        <w:jc w:val="both"/>
      </w:pPr>
      <w:r>
        <w:rPr>
          <w:rFonts w:ascii="Arial" w:cs="Arial" w:eastAsia="Arial" w:hAnsi="Arial"/>
          <w:sz w:val="24"/>
          <w:szCs w:val="24"/>
        </w:rPr>
        <w:t xml:space="preserve">- плановые показатели по бюджету;</w:t>
      </w:r>
    </w:p>
    <w:p>
      <w:pPr>
        <w:spacing w:after="120"/>
        <w:jc w:val="both"/>
      </w:pPr>
      <w:r>
        <w:rPr>
          <w:rFonts w:ascii="Arial" w:cs="Arial" w:eastAsia="Arial" w:hAnsi="Arial"/>
          <w:sz w:val="24"/>
          <w:szCs w:val="24"/>
        </w:rPr>
        <w:t xml:space="preserve">- источники финансирования Фонда: предприятия (недропользователи), средства республиканского бюджета, специальные средства;</w:t>
      </w:r>
    </w:p>
    <w:p>
      <w:pPr>
        <w:spacing w:after="120"/>
        <w:jc w:val="both"/>
      </w:pPr>
      <w:r>
        <w:rPr>
          <w:rFonts w:ascii="Arial" w:cs="Arial" w:eastAsia="Arial" w:hAnsi="Arial"/>
          <w:sz w:val="24"/>
          <w:szCs w:val="24"/>
        </w:rPr>
        <w:t xml:space="preserve">- общее число поступивших заявок и их распределение по видам деятельности.</w:t>
      </w:r>
    </w:p>
    <w:p>
      <w:pPr>
        <w:spacing w:after="120"/>
        <w:jc w:val="both"/>
      </w:pPr>
      <w:r>
        <w:rPr>
          <w:rFonts w:ascii="Arial" w:cs="Arial" w:eastAsia="Arial" w:hAnsi="Arial"/>
          <w:sz w:val="24"/>
          <w:szCs w:val="24"/>
        </w:rPr>
        <w:t xml:space="preserve">2. Анализ позитивных результатов работы Фонда (не более 2 страниц)</w:t>
      </w:r>
    </w:p>
    <w:p>
      <w:pPr>
        <w:spacing w:after="120"/>
        <w:jc w:val="both"/>
      </w:pPr>
      <w:r>
        <w:rPr>
          <w:rFonts w:ascii="Arial" w:cs="Arial" w:eastAsia="Arial" w:hAnsi="Arial"/>
          <w:sz w:val="24"/>
          <w:szCs w:val="24"/>
        </w:rPr>
        <w:t xml:space="preserve">Указать какие успехи достигнуты Фондом в текущем году. Привести примеры успешных проектов. Акцент сделать на проектах с применением инноваций, новых технологий, а также на проекты, которые оказали эффект на весь регион.</w:t>
      </w:r>
    </w:p>
    <w:p>
      <w:pPr>
        <w:spacing w:after="120"/>
        <w:jc w:val="both"/>
      </w:pPr>
      <w:r>
        <w:rPr>
          <w:rFonts w:ascii="Arial" w:cs="Arial" w:eastAsia="Arial" w:hAnsi="Arial"/>
          <w:sz w:val="24"/>
          <w:szCs w:val="24"/>
        </w:rPr>
        <w:t xml:space="preserve">3. Анализ проблемных вопросов</w:t>
      </w:r>
    </w:p>
    <w:p>
      <w:pPr>
        <w:spacing w:after="120"/>
        <w:jc w:val="both"/>
      </w:pPr>
      <w:r>
        <w:rPr>
          <w:rFonts w:ascii="Arial" w:cs="Arial" w:eastAsia="Arial" w:hAnsi="Arial"/>
          <w:sz w:val="24"/>
          <w:szCs w:val="24"/>
        </w:rPr>
        <w:t xml:space="preserve">Указать с какими проблемами столкнулись Фонды в процессе своей деятельности. Указать какие вопросы удалось решить самостоятельно.</w:t>
      </w:r>
    </w:p>
    <w:p>
      <w:pPr>
        <w:spacing w:after="120"/>
        <w:jc w:val="both"/>
      </w:pPr>
      <w:r>
        <w:rPr>
          <w:rFonts w:ascii="Arial" w:cs="Arial" w:eastAsia="Arial" w:hAnsi="Arial"/>
          <w:sz w:val="24"/>
          <w:szCs w:val="24"/>
        </w:rPr>
        <w:t xml:space="preserve">Представить перечень рекомендаций и запросов в уполномоченный государственный орган по экономическому прогнозированию и в уполномоченный государственный орган по прогнозированию и исполнению бюджета в части улучшения работы Фондов и снятия возникших проблемных вопросов.</w:t>
      </w:r>
    </w:p>
    <w:p>
      <w:pPr>
        <w:spacing w:after="120"/>
        <w:jc w:val="both"/>
      </w:pPr>
      <w:r>
        <w:rPr>
          <w:rFonts w:ascii="Arial" w:cs="Arial" w:eastAsia="Arial" w:hAnsi="Arial"/>
          <w:sz w:val="24"/>
          <w:szCs w:val="24"/>
        </w:rPr>
        <w:t xml:space="preserve">4. Результаты мониторинга и оценки</w:t>
      </w:r>
    </w:p>
    <w:p>
      <w:pPr>
        <w:spacing w:after="120"/>
        <w:jc w:val="both"/>
      </w:pPr>
      <w:r>
        <w:rPr>
          <w:rFonts w:ascii="Arial" w:cs="Arial" w:eastAsia="Arial" w:hAnsi="Arial"/>
          <w:sz w:val="24"/>
          <w:szCs w:val="24"/>
        </w:rPr>
        <w:t xml:space="preserve">Представляются результаты МиО в разрезе по типам индикаторов:</w:t>
      </w:r>
    </w:p>
    <w:p>
      <w:pPr>
        <w:spacing w:after="120"/>
        <w:jc w:val="both"/>
      </w:pPr>
      <w:r>
        <w:rPr>
          <w:rFonts w:ascii="Arial" w:cs="Arial" w:eastAsia="Arial" w:hAnsi="Arial"/>
          <w:sz w:val="24"/>
          <w:szCs w:val="24"/>
        </w:rPr>
        <w:t xml:space="preserve">1) соответствие деятельности Фонда установленным правилам и процедурам;</w:t>
      </w:r>
    </w:p>
    <w:p>
      <w:pPr>
        <w:spacing w:after="120"/>
        <w:jc w:val="both"/>
      </w:pPr>
      <w:r>
        <w:rPr>
          <w:rFonts w:ascii="Arial" w:cs="Arial" w:eastAsia="Arial" w:hAnsi="Arial"/>
          <w:sz w:val="24"/>
          <w:szCs w:val="24"/>
        </w:rPr>
        <w:t xml:space="preserve">2) соблюдение целевого использования финансовых средств;</w:t>
      </w:r>
    </w:p>
    <w:p>
      <w:pPr>
        <w:spacing w:after="120"/>
        <w:jc w:val="both"/>
      </w:pPr>
      <w:r>
        <w:rPr>
          <w:rFonts w:ascii="Arial" w:cs="Arial" w:eastAsia="Arial" w:hAnsi="Arial"/>
          <w:sz w:val="24"/>
          <w:szCs w:val="24"/>
        </w:rPr>
        <w:t xml:space="preserve">3) оценка эффективности выполнения проектов;</w:t>
      </w:r>
    </w:p>
    <w:p>
      <w:pPr>
        <w:spacing w:after="120"/>
        <w:jc w:val="both"/>
      </w:pPr>
      <w:r>
        <w:rPr>
          <w:rFonts w:ascii="Arial" w:cs="Arial" w:eastAsia="Arial" w:hAnsi="Arial"/>
          <w:sz w:val="24"/>
          <w:szCs w:val="24"/>
        </w:rPr>
        <w:t xml:space="preserve">4) соблюдения процедур и норм бюджетного законодательства Кыргызской Республики.</w:t>
      </w:r>
    </w:p>
    <w:p>
      <w:pPr>
        <w:spacing w:after="120"/>
        <w:jc w:val="both"/>
      </w:pPr>
      <w:r>
        <w:rPr>
          <w:rFonts w:ascii="Arial" w:cs="Arial" w:eastAsia="Arial" w:hAnsi="Arial"/>
          <w:sz w:val="24"/>
          <w:szCs w:val="24"/>
        </w:rPr>
        <w:t xml:space="preserve">По каждой группе индикаторов указываются таблицы, представленные в Типовой методике с заполненными показателями.</w:t>
      </w:r>
    </w:p>
    <w:p>
      <w:pPr>
        <w:spacing w:after="120"/>
        <w:jc w:val="both"/>
      </w:pPr>
      <w:r>
        <w:rPr>
          <w:rFonts w:ascii="Arial" w:cs="Arial" w:eastAsia="Arial" w:hAnsi="Arial"/>
          <w:sz w:val="24"/>
          <w:szCs w:val="24"/>
        </w:rPr>
        <w:t xml:space="preserve">По каждой группе индикаторов дается анализ полученных данных. Указываются причины успехов и негативных моментов.</w:t>
      </w:r>
    </w:p>
    <w:p>
      <w:pPr>
        <w:spacing w:after="120"/>
        <w:jc w:val="both"/>
      </w:pPr>
      <w:r>
        <w:rPr>
          <w:rFonts w:ascii="Arial" w:cs="Arial" w:eastAsia="Arial" w:hAnsi="Arial"/>
          <w:sz w:val="24"/>
          <w:szCs w:val="24"/>
        </w:rPr>
        <w:t xml:space="preserve">Представить результаты МиО в виде "лепестковой" диаграммы.</w:t>
      </w:r>
    </w:p>
    <w:p>
      <w:pPr>
        <w:spacing w:after="120"/>
        <w:jc w:val="both"/>
      </w:pPr>
      <w:r>
        <w:rPr>
          <w:rFonts w:ascii="Arial" w:cs="Arial" w:eastAsia="Arial" w:hAnsi="Arial"/>
          <w:sz w:val="24"/>
          <w:szCs w:val="24"/>
        </w:rPr>
        <w:t xml:space="preserve">5. Выводы и рекомендации по результатам МиО</w:t>
      </w:r>
    </w:p>
    <w:p>
      <w:pPr>
        <w:spacing w:after="120"/>
        <w:jc w:val="both"/>
      </w:pPr>
      <w:r>
        <w:rPr>
          <w:rFonts w:ascii="Arial" w:cs="Arial" w:eastAsia="Arial" w:hAnsi="Arial"/>
          <w:sz w:val="24"/>
          <w:szCs w:val="24"/>
        </w:rPr>
        <w:t xml:space="preserve">По результатам МиО Фонд самостоятельно дает объективную оценку своей деятельности. По результатам анализа Фонд представляет перечень корректирующих действий, которые запланированы для улучшения деятельности Фонда.".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y78jktk3jhiejfmlsopp">
      <w:r>
        <w:rPr>
          <w:rFonts w:ascii="Arial" w:cs="Arial" w:eastAsia="Arial" w:hAnsi="Arial"/>
          <w:color w:val="132D3F"/>
          <w:sz w:val="16"/>
          <w:szCs w:val="16"/>
          <w:u w:val="single"/>
        </w:rPr>
        <w:t xml:space="preserve">dalil.kg/document/160518</w:t>
      </w:r>
    </w:hyperlink>
  </w:p>
  <w:p>
    <w:pPr>
      <w:spacing w:after="0" w:before="40"/>
      <w:jc w:val="center"/>
    </w:pPr>
    <w:hyperlink w:history="1" r:id="rIdkpo2k6xr1xdwitnbkggq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sv4lhusebmaolhjz1tnh" Type="http://schemas.openxmlformats.org/officeDocument/2006/relationships/hyperlink" Target="https://dalil.kg/document/230014982" TargetMode="External"/><Relationship Id="rIdvnanuuzzumvpinyhfmxce" Type="http://schemas.openxmlformats.org/officeDocument/2006/relationships/hyperlink" Target="https://dalil.kg/document/111338#st_34" TargetMode="External"/><Relationship Id="rIdlmyh4e7-beeh8qesg55ea" Type="http://schemas.openxmlformats.org/officeDocument/2006/relationships/hyperlink" Target="https://dalil.kg/document/112301#st_13" TargetMode="External"/><Relationship Id="rId39ugdujwoswfbmb0vse6p" Type="http://schemas.openxmlformats.org/officeDocument/2006/relationships/hyperlink" Target="https://dalil.kg/document/112301#st_17" TargetMode="External"/><Relationship Id="rIdh6ep0t1c7ofi9zbfmuoe7" Type="http://schemas.openxmlformats.org/officeDocument/2006/relationships/hyperlink" Target="https://dalil.kg/document/159858" TargetMode="External"/><Relationship Id="rId8yo7-mazitubpx8j1ybly" Type="http://schemas.openxmlformats.org/officeDocument/2006/relationships/hyperlink" Target="https://dalil.kg/document/159859" TargetMode="External"/><Relationship Id="rIddtgeseq0vverbuotsmgjd" Type="http://schemas.openxmlformats.org/officeDocument/2006/relationships/hyperlink" Target="https://dalil.kg/document/159858#pr8" TargetMode="External"/><Relationship Id="rIdrzejauqnnmvcaxu4o11_o" Type="http://schemas.openxmlformats.org/officeDocument/2006/relationships/hyperlink" Target="https://dalil.kg/document/159858#pr8" TargetMode="External"/><Relationship Id="rIdkosspwuseztfr7fdgmngx" Type="http://schemas.openxmlformats.org/officeDocument/2006/relationships/hyperlink" Target="https://dalil.kg/document/160518#pr2" TargetMode="External"/><Relationship Id="rIdfd6vz3n1lujgg6vw0kzty" Type="http://schemas.openxmlformats.org/officeDocument/2006/relationships/hyperlink" Target="https://dalil.kg/document/159858#pr1" TargetMode="External"/><Relationship Id="rIdu587szds2mjmtry6ckpqk" Type="http://schemas.openxmlformats.org/officeDocument/2006/relationships/hyperlink" Target="https://dalil.kg/document/160518#pr1" TargetMode="External"/><Relationship Id="rId6ea6wfe6qguh6cc8-enfb" Type="http://schemas.openxmlformats.org/officeDocument/2006/relationships/hyperlink" Target="https://dalil.kg/document/159858" TargetMode="External"/><Relationship Id="rIdszahqjt1pyp3xvz-04a10" Type="http://schemas.openxmlformats.org/officeDocument/2006/relationships/hyperlink" Target="https://dalil.kg/document/160095" TargetMode="External"/><Relationship Id="rIdmsszdoseq4s8v1fwaqwfa" Type="http://schemas.openxmlformats.org/officeDocument/2006/relationships/hyperlink" Target="https://dalil.kg/document/159858" TargetMode="External"/><Relationship Id="rIdu9jbpn5pkdy5wszrtuobj" Type="http://schemas.openxmlformats.org/officeDocument/2006/relationships/hyperlink" Target="https://dalil.kg/document/111338" TargetMode="External"/><Relationship Id="rIdvq0yysj5cp_okq4t_uvth" Type="http://schemas.openxmlformats.org/officeDocument/2006/relationships/hyperlink" Target="https://dalil.kg/document/111820" TargetMode="External"/><Relationship Id="rIdtenwjsvwvv4-h0rscffq7" Type="http://schemas.openxmlformats.org/officeDocument/2006/relationships/hyperlink" Target="https://dalil.kg/document/112361" TargetMode="External"/><Relationship Id="rIdlhn0tchhlzpinjxr-cmr1" Type="http://schemas.openxmlformats.org/officeDocument/2006/relationships/hyperlink" Target="https://dalil.kg/document/274" TargetMode="External"/><Relationship Id="rIdukoil20geedz1s5ol2jsd" Type="http://schemas.openxmlformats.org/officeDocument/2006/relationships/hyperlink" Target="https://dalil.kg/document/111820" TargetMode="External"/><Relationship Id="rId_etpjmp761le3qszt4wj5" Type="http://schemas.openxmlformats.org/officeDocument/2006/relationships/hyperlink" Target="https://dalil.kg/document/111338" TargetMode="External"/><Relationship Id="rIdsx0nqmkmtcdjmhw0vbtzx" Type="http://schemas.openxmlformats.org/officeDocument/2006/relationships/hyperlink" Target="https://dalil.kg/document/112361" TargetMode="External"/><Relationship Id="rId8" Type="http://schemas.openxmlformats.org/officeDocument/2006/relationships/image" Target="media/8de64316e95979c063c17bcd5380dc052a2594e9.pn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y78jktk3jhiejfmlsopp" Type="http://schemas.openxmlformats.org/officeDocument/2006/relationships/hyperlink" Target="https://dalil.kg/document/160518" TargetMode="External"/><Relationship Id="rIdkpo2k6xr1xdwitnbkggq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2026-09-24T02:45:22.961Z</dcterms:created>
  <dcterms:modified xsi:type="dcterms:W3CDTF">2026-09-24T02:45:22.961Z</dcterms:modified>
</cp:coreProperties>
</file>

<file path=docProps/custom.xml><?xml version="1.0" encoding="utf-8"?>
<Properties xmlns="http://schemas.openxmlformats.org/officeDocument/2006/custom-properties" xmlns:vt="http://schemas.openxmlformats.org/officeDocument/2006/docPropsVTypes"/>
</file>