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xrsucydcte3mkuwogr0bx">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оценки эффективности налоговых льгот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9dixgvquq4prbmuqhawgb">
        <w:r>
          <w:rPr>
            <w:rFonts w:ascii="Arial" w:cs="Arial" w:eastAsia="Arial" w:hAnsi="Arial"/>
            <w:i/>
            <w:iCs/>
            <w:color w:val="1D4ED8"/>
            <w:sz w:val="24"/>
            <w:szCs w:val="24"/>
            <w:u w:val="single"/>
          </w:rPr>
          <w:t xml:space="preserve">2 июня 2026 года № 385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оценки эффективности налоговых льгот определяет виды оценки эффективности действующих или планируемых к предоставлению налоговых льгот, последовательность действий при проведении оценки, состав исполнителей и их взаимодействие, а также требования по подготовке результатов оценки (далее - Порядок).</w:t>
      </w:r>
    </w:p>
    <w:p>
      <w:pPr>
        <w:spacing w:after="120"/>
        <w:jc w:val="both"/>
      </w:pPr>
      <w:r>
        <w:rPr>
          <w:rFonts w:ascii="Arial" w:cs="Arial" w:eastAsia="Arial" w:hAnsi="Arial"/>
          <w:sz w:val="24"/>
          <w:szCs w:val="24"/>
        </w:rPr>
        <w:t xml:space="preserve">2. Основные понятия и термины, используемые в настоящем Порядке:</w:t>
      </w:r>
    </w:p>
    <w:p>
      <w:pPr>
        <w:spacing w:after="120"/>
        <w:jc w:val="both"/>
      </w:pPr>
      <w:r>
        <w:rPr>
          <w:rFonts w:ascii="Arial" w:cs="Arial" w:eastAsia="Arial" w:hAnsi="Arial"/>
          <w:sz w:val="24"/>
          <w:szCs w:val="24"/>
        </w:rPr>
        <w:t xml:space="preserve">налоговая льгота - освобождение от уплаты налога или его части, предусмотренное Налоговым </w:t>
      </w:r>
      <w:hyperlink w:history="1" r:id="rIdf8yhpoyutr9cysb8qpgw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эффективность налоговых льгот - соотношение результата деятельности соответствующей отрасли за период применения налоговой льготы с результатом за предшествующий период соответственно, характеризующее степень достижения цели предоставления налоговой льготы, в разрезе по налогоплательщикам.</w:t>
      </w:r>
    </w:p>
    <w:p>
      <w:pPr>
        <w:spacing w:after="120"/>
        <w:jc w:val="both"/>
      </w:pPr>
      <w:r>
        <w:rPr>
          <w:rFonts w:ascii="Arial" w:cs="Arial" w:eastAsia="Arial" w:hAnsi="Arial"/>
          <w:sz w:val="24"/>
          <w:szCs w:val="24"/>
        </w:rPr>
        <w:t xml:space="preserve">3. Основными целями налоговых льгот являются:</w:t>
      </w:r>
    </w:p>
    <w:p>
      <w:pPr>
        <w:spacing w:after="120"/>
        <w:jc w:val="both"/>
      </w:pPr>
      <w:r>
        <w:rPr>
          <w:rFonts w:ascii="Arial" w:cs="Arial" w:eastAsia="Arial" w:hAnsi="Arial"/>
          <w:sz w:val="24"/>
          <w:szCs w:val="24"/>
        </w:rPr>
        <w:t xml:space="preserve">- стимулирование устойчивого развития экономики Кыргызской Республики;</w:t>
      </w:r>
    </w:p>
    <w:p>
      <w:pPr>
        <w:spacing w:after="120"/>
        <w:jc w:val="both"/>
      </w:pPr>
      <w:r>
        <w:rPr>
          <w:rFonts w:ascii="Arial" w:cs="Arial" w:eastAsia="Arial" w:hAnsi="Arial"/>
          <w:sz w:val="24"/>
          <w:szCs w:val="24"/>
        </w:rPr>
        <w:t xml:space="preserve">- привлечение инвестиций и финансирования в приоритетные секторы экономики для устойчивого развития;</w:t>
      </w:r>
    </w:p>
    <w:p>
      <w:pPr>
        <w:spacing w:after="120"/>
        <w:jc w:val="both"/>
      </w:pPr>
      <w:r>
        <w:rPr>
          <w:rFonts w:ascii="Arial" w:cs="Arial" w:eastAsia="Arial" w:hAnsi="Arial"/>
          <w:sz w:val="24"/>
          <w:szCs w:val="24"/>
        </w:rPr>
        <w:t xml:space="preserve">- достижение основных приоритетов Национальной стратегии развития страны;</w:t>
      </w:r>
    </w:p>
    <w:p>
      <w:pPr>
        <w:spacing w:after="120"/>
        <w:jc w:val="both"/>
      </w:pPr>
      <w:r>
        <w:rPr>
          <w:rFonts w:ascii="Arial" w:cs="Arial" w:eastAsia="Arial" w:hAnsi="Arial"/>
          <w:sz w:val="24"/>
          <w:szCs w:val="24"/>
        </w:rPr>
        <w:t xml:space="preserve">- социальная поддержка населения;</w:t>
      </w:r>
    </w:p>
    <w:p>
      <w:pPr>
        <w:spacing w:after="120"/>
        <w:jc w:val="both"/>
      </w:pPr>
      <w:r>
        <w:rPr>
          <w:rFonts w:ascii="Arial" w:cs="Arial" w:eastAsia="Arial" w:hAnsi="Arial"/>
          <w:sz w:val="24"/>
          <w:szCs w:val="24"/>
        </w:rPr>
        <w:t xml:space="preserve">- поощрение общественно полезной, в том числе благотворительной, деятельности.</w:t>
      </w:r>
    </w:p>
    <w:p>
      <w:pPr>
        <w:spacing w:after="120"/>
        <w:jc w:val="both"/>
      </w:pPr>
      <w:r>
        <w:rPr>
          <w:rFonts w:ascii="Arial" w:cs="Arial" w:eastAsia="Arial" w:hAnsi="Arial"/>
          <w:sz w:val="24"/>
          <w:szCs w:val="24"/>
        </w:rPr>
        <w:t xml:space="preserve">4. Оценка эффективности налоговых льгот производится по двум видам:</w:t>
      </w:r>
    </w:p>
    <w:p>
      <w:pPr>
        <w:spacing w:after="120"/>
        <w:jc w:val="both"/>
      </w:pPr>
      <w:r>
        <w:rPr>
          <w:rFonts w:ascii="Arial" w:cs="Arial" w:eastAsia="Arial" w:hAnsi="Arial"/>
          <w:sz w:val="24"/>
          <w:szCs w:val="24"/>
        </w:rPr>
        <w:t xml:space="preserve">1) оценка эффективности действующих налоговых льгот;</w:t>
      </w:r>
    </w:p>
    <w:p>
      <w:pPr>
        <w:spacing w:after="120"/>
        <w:jc w:val="both"/>
      </w:pPr>
      <w:r>
        <w:rPr>
          <w:rFonts w:ascii="Arial" w:cs="Arial" w:eastAsia="Arial" w:hAnsi="Arial"/>
          <w:sz w:val="24"/>
          <w:szCs w:val="24"/>
        </w:rPr>
        <w:t xml:space="preserve">2) оценка эффективности планируемых к предоставлению налоговых льгот.</w:t>
      </w:r>
    </w:p>
    <w:p>
      <w:pPr>
        <w:spacing w:after="120"/>
        <w:jc w:val="both"/>
      </w:pPr>
      <w:r>
        <w:rPr>
          <w:rFonts w:ascii="Arial" w:cs="Arial" w:eastAsia="Arial" w:hAnsi="Arial"/>
          <w:sz w:val="24"/>
          <w:szCs w:val="24"/>
        </w:rPr>
        <w:t xml:space="preserve">5. Оценка эффективности действующих и планируемых к предоставлению налоговых льгот не осуществляется для налоговых льгот, установленных в отношении:</w:t>
      </w:r>
    </w:p>
    <w:p>
      <w:pPr>
        <w:spacing w:after="120"/>
        <w:jc w:val="both"/>
      </w:pPr>
      <w:r>
        <w:rPr>
          <w:rFonts w:ascii="Arial" w:cs="Arial" w:eastAsia="Arial" w:hAnsi="Arial"/>
          <w:sz w:val="24"/>
          <w:szCs w:val="24"/>
        </w:rPr>
        <w:t xml:space="preserve">- бюджетных учреждений, финансируемых из государственного бюджета Кыргызской Республики;</w:t>
      </w:r>
    </w:p>
    <w:p>
      <w:pPr>
        <w:spacing w:after="120"/>
        <w:jc w:val="both"/>
      </w:pPr>
      <w:r>
        <w:rPr>
          <w:rFonts w:ascii="Arial" w:cs="Arial" w:eastAsia="Arial" w:hAnsi="Arial"/>
          <w:sz w:val="24"/>
          <w:szCs w:val="24"/>
        </w:rPr>
        <w:t xml:space="preserve">- органов государственной власти Кыргызской Республики и органов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Оценка эффективности действующих налоговых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Оценка эффективности предоставленных налоговых льгот проводится ежегодно по Перечню налоговых льгот, подлежащих оценке эффективности налоговых льгот согласно </w:t>
      </w:r>
      <w:hyperlink w:history="1" r:id="rId_42x__dhk3f9cquxbjsz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7. В случае необходимости проведения оценки эффективности налоговых льгот по инициативе государственных органов, бизнес-ассоциаций и субъектов предпринимательства, оценка осуществляется до наступления срока соответствующего этапа по налоговым льготам, указанным в </w:t>
      </w:r>
      <w:hyperlink w:history="1" r:id="rIdr7kkingrsfvg6zhwsljf_">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8. Оценка эффективности действующих налоговых льгот состоит из четырех этапов:</w:t>
      </w:r>
    </w:p>
    <w:p>
      <w:pPr>
        <w:spacing w:after="120"/>
        <w:jc w:val="both"/>
      </w:pPr>
      <w:r>
        <w:rPr>
          <w:rFonts w:ascii="Arial" w:cs="Arial" w:eastAsia="Arial" w:hAnsi="Arial"/>
          <w:sz w:val="24"/>
          <w:szCs w:val="24"/>
        </w:rPr>
        <w:t xml:space="preserve">1) уполномоченный налоговый орган и/или уполномоченный орган в сфере таможенного дела проводит предварительную оценку, по итогам которой вносит в уполномоченный государственный орган, имеющий функции и полномочия по регулированию налоговых правоотношений, проведению налоговой и таможенной политики (далее - уполномоченный государственный орган), аналитическую записку с приложениями </w:t>
      </w:r>
      <w:hyperlink w:history="1" r:id="rIdkse4i-mpes2lvhxcvb_iu">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mgsogg0l3nn4afad8634d">
        <w:r>
          <w:rPr>
            <w:rFonts w:ascii="Arial" w:cs="Arial" w:eastAsia="Arial" w:hAnsi="Arial"/>
            <w:color w:val="1D4ED8"/>
            <w:sz w:val="24"/>
            <w:szCs w:val="24"/>
            <w:u w:val="single"/>
          </w:rPr>
          <w:t xml:space="preserve">2</w:t>
        </w:r>
      </w:hyperlink>
      <w:r>
        <w:rPr>
          <w:rFonts w:ascii="Arial" w:cs="Arial" w:eastAsia="Arial" w:hAnsi="Arial"/>
          <w:sz w:val="24"/>
          <w:szCs w:val="24"/>
        </w:rPr>
        <w:t xml:space="preserve">, или </w:t>
      </w:r>
      <w:hyperlink w:history="1" r:id="rIdttwzq5es-g_4k-2j6twnf">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cdemvtddxkwwg8vj-b8vq">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 Национальный статистический комитет Кыргызской Республики вносит в уполномоченный государственный орган информацию согласно приложениям </w:t>
      </w:r>
      <w:hyperlink w:history="1" r:id="rIds54gchgg-nko7miobod6a">
        <w:r>
          <w:rPr>
            <w:rFonts w:ascii="Arial" w:cs="Arial" w:eastAsia="Arial" w:hAnsi="Arial"/>
            <w:color w:val="1D4ED8"/>
            <w:sz w:val="24"/>
            <w:szCs w:val="24"/>
            <w:u w:val="single"/>
          </w:rPr>
          <w:t xml:space="preserve">1</w:t>
        </w:r>
      </w:hyperlink>
      <w:r>
        <w:rPr>
          <w:rFonts w:ascii="Arial" w:cs="Arial" w:eastAsia="Arial" w:hAnsi="Arial"/>
          <w:sz w:val="24"/>
          <w:szCs w:val="24"/>
        </w:rPr>
        <w:t xml:space="preserve"> или </w:t>
      </w:r>
      <w:hyperlink w:history="1" r:id="rIde35zbrjlgy3mps2gaymhp">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 уполномоченный государственный орган формирует межведомственную рабочую группу, которая рассматривает предварительную оценку уполномоченного налогового органа и/или уполномоченного органа в сфере таможенного дела;</w:t>
      </w:r>
    </w:p>
    <w:p>
      <w:pPr>
        <w:spacing w:after="120"/>
        <w:jc w:val="both"/>
      </w:pPr>
      <w:r>
        <w:rPr>
          <w:rFonts w:ascii="Arial" w:cs="Arial" w:eastAsia="Arial" w:hAnsi="Arial"/>
          <w:sz w:val="24"/>
          <w:szCs w:val="24"/>
        </w:rPr>
        <w:t xml:space="preserve">3) межведомственная рабочая группа на основании предварительной оценки уполномоченного налогового органа и/или уполномоченного органа в сфере таможенного дела проводит итоговую оценку.</w:t>
      </w:r>
    </w:p>
    <w:p>
      <w:pPr>
        <w:spacing w:after="120"/>
        <w:jc w:val="both"/>
      </w:pPr>
      <w:r>
        <w:rPr>
          <w:rFonts w:ascii="Arial" w:cs="Arial" w:eastAsia="Arial" w:hAnsi="Arial"/>
          <w:sz w:val="24"/>
          <w:szCs w:val="24"/>
        </w:rPr>
        <w:t xml:space="preserve">При необходимости межведомственная рабочая группа просит уполномоченный государственный орган запросить сведения у государственных органов, бизнес-ассоциаций и субъектов предпринимательства.</w:t>
      </w:r>
    </w:p>
    <w:p>
      <w:pPr>
        <w:spacing w:after="120"/>
        <w:jc w:val="both"/>
      </w:pPr>
      <w:r>
        <w:rPr>
          <w:rFonts w:ascii="Arial" w:cs="Arial" w:eastAsia="Arial" w:hAnsi="Arial"/>
          <w:sz w:val="24"/>
          <w:szCs w:val="24"/>
        </w:rPr>
        <w:t xml:space="preserve">Межведомственная рабочая группа вносит в уполномоченный государственный орган аналитическую записку с приложениями </w:t>
      </w:r>
      <w:hyperlink w:history="1" r:id="rIdzzdnsslal14jjlt8ig1eq">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hhcouky8xxaftvv0doku3">
        <w:r>
          <w:rPr>
            <w:rFonts w:ascii="Arial" w:cs="Arial" w:eastAsia="Arial" w:hAnsi="Arial"/>
            <w:color w:val="1D4ED8"/>
            <w:sz w:val="24"/>
            <w:szCs w:val="24"/>
            <w:u w:val="single"/>
          </w:rPr>
          <w:t xml:space="preserve">2</w:t>
        </w:r>
      </w:hyperlink>
      <w:r>
        <w:rPr>
          <w:rFonts w:ascii="Arial" w:cs="Arial" w:eastAsia="Arial" w:hAnsi="Arial"/>
          <w:sz w:val="24"/>
          <w:szCs w:val="24"/>
        </w:rPr>
        <w:t xml:space="preserve">, или </w:t>
      </w:r>
      <w:hyperlink w:history="1" r:id="rIdq8gu_aqxysaitbiirmh2u">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ayccydj1qax7jqoraxie">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4) Уполномоченный государственный орган на основании итоговой оценки межведомственной рабочей группы:</w:t>
      </w:r>
    </w:p>
    <w:p>
      <w:pPr>
        <w:spacing w:after="120"/>
        <w:jc w:val="both"/>
      </w:pPr>
      <w:r>
        <w:rPr>
          <w:rFonts w:ascii="Arial" w:cs="Arial" w:eastAsia="Arial" w:hAnsi="Arial"/>
          <w:sz w:val="24"/>
          <w:szCs w:val="24"/>
        </w:rPr>
        <w:t xml:space="preserve">- разрабатывает проект нормативного правового акта о пролонгации налоговой льготы, с установлением сроков действия налоговых льгот;</w:t>
      </w:r>
    </w:p>
    <w:p>
      <w:pPr>
        <w:spacing w:after="120"/>
        <w:jc w:val="both"/>
      </w:pPr>
      <w:r>
        <w:rPr>
          <w:rFonts w:ascii="Arial" w:cs="Arial" w:eastAsia="Arial" w:hAnsi="Arial"/>
          <w:sz w:val="24"/>
          <w:szCs w:val="24"/>
        </w:rPr>
        <w:t xml:space="preserve">- разрабатывает нормативный правовой акт об отмене налоговой льготы.</w:t>
      </w:r>
    </w:p>
    <w:p>
      <w:pPr>
        <w:spacing w:after="120"/>
        <w:jc w:val="both"/>
      </w:pPr>
      <w:r>
        <w:rPr>
          <w:rFonts w:ascii="Arial" w:cs="Arial" w:eastAsia="Arial" w:hAnsi="Arial"/>
          <w:sz w:val="24"/>
          <w:szCs w:val="24"/>
        </w:rPr>
        <w:t xml:space="preserve">9. Аналитическая записка об оценке эффективности налоговых льгот за анализируемый период размещается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10. Аналитическая записка в обязательном порядке содержит следующую информацию:</w:t>
      </w:r>
    </w:p>
    <w:p>
      <w:pPr>
        <w:spacing w:after="120"/>
        <w:jc w:val="both"/>
      </w:pPr>
      <w:r>
        <w:rPr>
          <w:rFonts w:ascii="Arial" w:cs="Arial" w:eastAsia="Arial" w:hAnsi="Arial"/>
          <w:sz w:val="24"/>
          <w:szCs w:val="24"/>
        </w:rPr>
        <w:t xml:space="preserve">1) о влиянии налоговой льготы на финансово-экономические и социальные показатели отдельных категорий налогоплательщиков;</w:t>
      </w:r>
    </w:p>
    <w:p>
      <w:pPr>
        <w:spacing w:after="120"/>
        <w:jc w:val="both"/>
      </w:pPr>
      <w:r>
        <w:rPr>
          <w:rFonts w:ascii="Arial" w:cs="Arial" w:eastAsia="Arial" w:hAnsi="Arial"/>
          <w:sz w:val="24"/>
          <w:szCs w:val="24"/>
        </w:rPr>
        <w:t xml:space="preserve">2) о динамике финансово-экономических и социальных показателей деятельности отдельных категорий налогоплательщиков;</w:t>
      </w:r>
    </w:p>
    <w:p>
      <w:pPr>
        <w:spacing w:after="120"/>
        <w:jc w:val="both"/>
      </w:pPr>
      <w:r>
        <w:rPr>
          <w:rFonts w:ascii="Arial" w:cs="Arial" w:eastAsia="Arial" w:hAnsi="Arial"/>
          <w:sz w:val="24"/>
          <w:szCs w:val="24"/>
        </w:rPr>
        <w:t xml:space="preserve">3) о расчетной сумме налоговых льгот в разрезе видов налогов, не поступивших в бюджет вследствие применения рассмотренной налоговой льготы, по данным уполномоченного налогового органа;</w:t>
      </w:r>
    </w:p>
    <w:p>
      <w:pPr>
        <w:spacing w:after="120"/>
        <w:jc w:val="both"/>
      </w:pPr>
      <w:r>
        <w:rPr>
          <w:rFonts w:ascii="Arial" w:cs="Arial" w:eastAsia="Arial" w:hAnsi="Arial"/>
          <w:sz w:val="24"/>
          <w:szCs w:val="24"/>
        </w:rPr>
        <w:t xml:space="preserve">4) информацию с указанием конкретизированных показателей о соответствии изученной налоговой льготы с целями:</w:t>
      </w:r>
    </w:p>
    <w:p>
      <w:pPr>
        <w:spacing w:after="120"/>
        <w:jc w:val="both"/>
      </w:pPr>
      <w:r>
        <w:rPr>
          <w:rFonts w:ascii="Arial" w:cs="Arial" w:eastAsia="Arial" w:hAnsi="Arial"/>
          <w:sz w:val="24"/>
          <w:szCs w:val="24"/>
        </w:rPr>
        <w:t xml:space="preserve">- как стимулировалось устойчивое развитие экономики Кыргызской Республики;</w:t>
      </w:r>
    </w:p>
    <w:p>
      <w:pPr>
        <w:spacing w:after="120"/>
        <w:jc w:val="both"/>
      </w:pPr>
      <w:r>
        <w:rPr>
          <w:rFonts w:ascii="Arial" w:cs="Arial" w:eastAsia="Arial" w:hAnsi="Arial"/>
          <w:sz w:val="24"/>
          <w:szCs w:val="24"/>
        </w:rPr>
        <w:t xml:space="preserve">- привлекались ли инвестиции и финансирование в приоритетные сектора экономики для устойчивого развития;</w:t>
      </w:r>
    </w:p>
    <w:p>
      <w:pPr>
        <w:spacing w:after="120"/>
        <w:jc w:val="both"/>
      </w:pPr>
      <w:r>
        <w:rPr>
          <w:rFonts w:ascii="Arial" w:cs="Arial" w:eastAsia="Arial" w:hAnsi="Arial"/>
          <w:sz w:val="24"/>
          <w:szCs w:val="24"/>
        </w:rPr>
        <w:t xml:space="preserve">- достигнуты ли основные приоритеты Национальной стратегии развития страны;</w:t>
      </w:r>
    </w:p>
    <w:p>
      <w:pPr>
        <w:spacing w:after="120"/>
        <w:jc w:val="both"/>
      </w:pPr>
      <w:r>
        <w:rPr>
          <w:rFonts w:ascii="Arial" w:cs="Arial" w:eastAsia="Arial" w:hAnsi="Arial"/>
          <w:sz w:val="24"/>
          <w:szCs w:val="24"/>
        </w:rPr>
        <w:t xml:space="preserve">- направлено ли на социальную поддержку населения;</w:t>
      </w:r>
    </w:p>
    <w:p>
      <w:pPr>
        <w:spacing w:after="120"/>
        <w:jc w:val="both"/>
      </w:pPr>
      <w:r>
        <w:rPr>
          <w:rFonts w:ascii="Arial" w:cs="Arial" w:eastAsia="Arial" w:hAnsi="Arial"/>
          <w:sz w:val="24"/>
          <w:szCs w:val="24"/>
        </w:rPr>
        <w:t xml:space="preserve">- поощрялась ли общественно полезная, в том числе благотворительная, деятельность;</w:t>
      </w:r>
    </w:p>
    <w:p>
      <w:pPr>
        <w:spacing w:after="120"/>
        <w:jc w:val="both"/>
      </w:pPr>
      <w:r>
        <w:rPr>
          <w:rFonts w:ascii="Arial" w:cs="Arial" w:eastAsia="Arial" w:hAnsi="Arial"/>
          <w:sz w:val="24"/>
          <w:szCs w:val="24"/>
        </w:rPr>
        <w:t xml:space="preserve">5) об изменении поступлений налоговых платежей в государственный бюджет по отдельным категориям налогоплательщиков, которым предоставлены налоговые льготы;</w:t>
      </w:r>
    </w:p>
    <w:p>
      <w:pPr>
        <w:spacing w:after="120"/>
        <w:jc w:val="both"/>
      </w:pPr>
      <w:r>
        <w:rPr>
          <w:rFonts w:ascii="Arial" w:cs="Arial" w:eastAsia="Arial" w:hAnsi="Arial"/>
          <w:sz w:val="24"/>
          <w:szCs w:val="24"/>
        </w:rPr>
        <w:t xml:space="preserve">6) об итогах оценки эффективности с обязательным указанием одного из следующих заключений: льгота является эффективной и подлежит продлению, или льгота является не эффективной и подлежит отмене;</w:t>
      </w:r>
    </w:p>
    <w:p>
      <w:pPr>
        <w:spacing w:after="120"/>
        <w:jc w:val="both"/>
      </w:pPr>
      <w:r>
        <w:rPr>
          <w:rFonts w:ascii="Arial" w:cs="Arial" w:eastAsia="Arial" w:hAnsi="Arial"/>
          <w:sz w:val="24"/>
          <w:szCs w:val="24"/>
        </w:rPr>
        <w:t xml:space="preserve">7) иную информацию, связанную с достижением целей проведения оценки эффективности предоставленных налоговых льгот.</w:t>
      </w:r>
    </w:p>
    <w:p>
      <w:pPr>
        <w:spacing w:after="120"/>
        <w:jc w:val="both"/>
      </w:pPr>
      <w:r>
        <w:rPr>
          <w:rFonts w:ascii="Arial" w:cs="Arial" w:eastAsia="Arial" w:hAnsi="Arial"/>
          <w:sz w:val="24"/>
          <w:szCs w:val="24"/>
        </w:rPr>
        <w:t xml:space="preserve">11. Оценка эффективности действующих налоговых льгот включает в себя:</w:t>
      </w:r>
    </w:p>
    <w:p>
      <w:pPr>
        <w:spacing w:after="120"/>
        <w:jc w:val="both"/>
      </w:pPr>
      <w:r>
        <w:rPr>
          <w:rFonts w:ascii="Arial" w:cs="Arial" w:eastAsia="Arial" w:hAnsi="Arial"/>
          <w:sz w:val="24"/>
          <w:szCs w:val="24"/>
        </w:rPr>
        <w:t xml:space="preserve">1) оценку социальной и экономической эффективности предоставленных налоговых льгот - в целях оценки влияния использования налоговых льгот на динамику финансово-экономических и социальных показателей деятельности отдельной категории налогоплательщиков, применяющих налоговую льготу;</w:t>
      </w:r>
    </w:p>
    <w:p>
      <w:pPr>
        <w:spacing w:after="120"/>
        <w:jc w:val="both"/>
      </w:pPr>
      <w:r>
        <w:rPr>
          <w:rFonts w:ascii="Arial" w:cs="Arial" w:eastAsia="Arial" w:hAnsi="Arial"/>
          <w:sz w:val="24"/>
          <w:szCs w:val="24"/>
        </w:rPr>
        <w:t xml:space="preserve">2) оценку бюджетной эффективности предоставления налоговой льготы - в целях оценки влияния предоставления налоговых льгот на доходы государственного бюджета.</w:t>
      </w:r>
    </w:p>
    <w:p>
      <w:pPr>
        <w:spacing w:after="120"/>
        <w:jc w:val="both"/>
      </w:pPr>
      <w:r>
        <w:rPr>
          <w:rFonts w:ascii="Arial" w:cs="Arial" w:eastAsia="Arial" w:hAnsi="Arial"/>
          <w:sz w:val="24"/>
          <w:szCs w:val="24"/>
        </w:rPr>
        <w:t xml:space="preserve">12. Оценка бюджетной, социальной и экономической эффективности предоставленных налоговых льгот проводится по каждому виду налога в отношении каждой из предоставленных налоговых льгот с учетом данных, имеющихся у уполномоченного налогового органа о финансово-экономических и социальных показателях деятельности налогоплательщиков, которые воспользовались налоговой льготой.</w:t>
      </w:r>
    </w:p>
    <w:p>
      <w:pPr>
        <w:spacing w:after="120"/>
        <w:jc w:val="both"/>
      </w:pPr>
      <w:r>
        <w:rPr>
          <w:rFonts w:ascii="Arial" w:cs="Arial" w:eastAsia="Arial" w:hAnsi="Arial"/>
          <w:sz w:val="24"/>
          <w:szCs w:val="24"/>
        </w:rPr>
        <w:t xml:space="preserve">13. Оценка социальной и экономической эффективности налоговых льгот осуществляется в целях, указанных в подпункте 1 пункта 11.</w:t>
      </w:r>
    </w:p>
    <w:p>
      <w:pPr>
        <w:spacing w:after="120"/>
        <w:jc w:val="both"/>
      </w:pPr>
      <w:r>
        <w:rPr>
          <w:rFonts w:ascii="Arial" w:cs="Arial" w:eastAsia="Arial" w:hAnsi="Arial"/>
          <w:sz w:val="24"/>
          <w:szCs w:val="24"/>
        </w:rPr>
        <w:t xml:space="preserve">14. Налоговые льготы имеют положительную социальную и экономическую эффективность, если достигнута положительная динамика не менее чем по 5 финансово-экономическим и социальным показателям деятельности, учтенных в расчетах налогоплательщиков.</w:t>
      </w:r>
    </w:p>
    <w:p>
      <w:pPr>
        <w:spacing w:after="120"/>
        <w:jc w:val="both"/>
      </w:pPr>
      <w:r>
        <w:rPr>
          <w:rFonts w:ascii="Arial" w:cs="Arial" w:eastAsia="Arial" w:hAnsi="Arial"/>
          <w:sz w:val="24"/>
          <w:szCs w:val="24"/>
        </w:rPr>
        <w:t xml:space="preserve">15. Оценка бюджетной эффективности налоговых льгот осуществляется в целях, указанных в подпункте 2 пункта 11.</w:t>
      </w:r>
    </w:p>
    <w:p>
      <w:pPr>
        <w:spacing w:after="120"/>
        <w:jc w:val="both"/>
      </w:pPr>
      <w:r>
        <w:rPr>
          <w:rFonts w:ascii="Arial" w:cs="Arial" w:eastAsia="Arial" w:hAnsi="Arial"/>
          <w:sz w:val="24"/>
          <w:szCs w:val="24"/>
        </w:rPr>
        <w:t xml:space="preserve">16. Оценка бюджетной эффективности налоговых льгот проводится на основании динамики поступлений налоговых платежей в государственный бюджет по итогам отчетного года относительно года, предшествующего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17. Налоговые льготы имеют положительную бюджетную эффективность, если получен прирост поступлений налоговых платежей по итогам отчетного года относительно года, предшествующего году, в котором налогоплательщики начали применять налоговую льготу.</w:t>
      </w:r>
    </w:p>
    <w:p>
      <w:pPr>
        <w:spacing w:after="120"/>
        <w:jc w:val="both"/>
      </w:pPr>
      <w:r>
        <w:rPr>
          <w:rFonts w:ascii="Arial" w:cs="Arial" w:eastAsia="Arial" w:hAnsi="Arial"/>
          <w:sz w:val="24"/>
          <w:szCs w:val="24"/>
        </w:rPr>
        <w:t xml:space="preserve">18. Налоговая льгота признается эффективной, если достигнута положительная социальная и экономическая эффективность и/или бюджетная эффективность.</w:t>
      </w:r>
    </w:p>
    <w:p>
      <w:pPr>
        <w:spacing w:after="120"/>
        <w:jc w:val="both"/>
      </w:pPr>
      <w:r>
        <w:rPr>
          <w:rFonts w:ascii="Arial" w:cs="Arial" w:eastAsia="Arial" w:hAnsi="Arial"/>
          <w:sz w:val="24"/>
          <w:szCs w:val="24"/>
        </w:rPr>
        <w:t xml:space="preserve">19. Для налоговых льгот, применяемых в течение 5 и более лет, финансово-экономические и социальные показатели деятельности налогоплательщиков, которые воспользовались налоговой льготой, формируются в соответствии с </w:t>
      </w:r>
      <w:hyperlink w:history="1" r:id="rIdktalg18vdgjoee_qvr_hl">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оценка бюджетной эффективности проводится на основании </w:t>
      </w:r>
      <w:hyperlink w:history="1" r:id="rId21ahob8du4224drpc1bqx">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 проведении оценки эффективности налоговых льгот, используемых более 5 лет, уполномоченный государственный орган вправе:</w:t>
      </w:r>
    </w:p>
    <w:p>
      <w:pPr>
        <w:spacing w:after="120"/>
        <w:jc w:val="both"/>
      </w:pPr>
      <w:r>
        <w:rPr>
          <w:rFonts w:ascii="Arial" w:cs="Arial" w:eastAsia="Arial" w:hAnsi="Arial"/>
          <w:sz w:val="24"/>
          <w:szCs w:val="24"/>
        </w:rPr>
        <w:t xml:space="preserve">1) не учитывать периоды с учетом возникновения чрезвычайных ситуаций и обстоятельств непреодолимой силы в Кыргызской Республике;</w:t>
      </w:r>
    </w:p>
    <w:p>
      <w:pPr>
        <w:spacing w:after="120"/>
        <w:jc w:val="both"/>
      </w:pPr>
      <w:r>
        <w:rPr>
          <w:rFonts w:ascii="Arial" w:cs="Arial" w:eastAsia="Arial" w:hAnsi="Arial"/>
          <w:sz w:val="24"/>
          <w:szCs w:val="24"/>
        </w:rPr>
        <w:t xml:space="preserve">2) самостоятельно определять базовый период, необходимый для сопоставления и расчета динамики финансово-экономических, социальных показателей деятельности налогоплательщиков, воспользовавшихся налоговой льготой, а также сумм налогов, уплаченных в государственный бюджет налогоплательщиками, которые воспользовались налоговой льготой.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Оценка эффективности планируемых к предоставлению</w:t>
      </w:r>
    </w:p>
    <w:p>
      <w:pPr>
        <w:spacing w:after="120"/>
        <w:jc w:val="center"/>
      </w:pPr>
      <w:r>
        <w:rPr>
          <w:rFonts w:ascii="Arial" w:cs="Arial" w:eastAsia="Arial" w:hAnsi="Arial"/>
          <w:b/>
          <w:bCs/>
          <w:sz w:val="24"/>
          <w:szCs w:val="24"/>
        </w:rPr>
        <w:t xml:space="preserve">налоговых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Предложение, предусматривающее предоставление налоговой льготы, подлежит предварительной оценке эффективности налоговых льгот, которая должна проводиться в соответствии с настоящим Порядком государственным органом или субъектом предпринимательства/бизнес-ассоциацией, инициирующим установление налоговой льготы.</w:t>
      </w:r>
    </w:p>
    <w:p>
      <w:pPr>
        <w:spacing w:after="120"/>
        <w:jc w:val="both"/>
      </w:pPr>
      <w:r>
        <w:rPr>
          <w:rFonts w:ascii="Arial" w:cs="Arial" w:eastAsia="Arial" w:hAnsi="Arial"/>
          <w:sz w:val="24"/>
          <w:szCs w:val="24"/>
        </w:rPr>
        <w:t xml:space="preserve">22. Предложение подлежит оформлению в виде аналитической записки с приложением показателей финансово-экономической деятельности, указанных в </w:t>
      </w:r>
      <w:hyperlink w:history="1" r:id="rIddbr4cphlt-t-ctpl0abx_">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Порядку, по категории налогоплательщиков, на которых будет распространяться налоговая льгота.</w:t>
      </w:r>
    </w:p>
    <w:p>
      <w:pPr>
        <w:spacing w:after="120"/>
        <w:jc w:val="both"/>
      </w:pPr>
      <w:r>
        <w:rPr>
          <w:rFonts w:ascii="Arial" w:cs="Arial" w:eastAsia="Arial" w:hAnsi="Arial"/>
          <w:sz w:val="24"/>
          <w:szCs w:val="24"/>
        </w:rPr>
        <w:t xml:space="preserve">23. Предложение в обязательном порядке должно содержать следующие сведения:</w:t>
      </w:r>
    </w:p>
    <w:p>
      <w:pPr>
        <w:spacing w:after="120"/>
        <w:jc w:val="both"/>
      </w:pPr>
      <w:r>
        <w:rPr>
          <w:rFonts w:ascii="Arial" w:cs="Arial" w:eastAsia="Arial" w:hAnsi="Arial"/>
          <w:sz w:val="24"/>
          <w:szCs w:val="24"/>
        </w:rPr>
        <w:t xml:space="preserve">1) категорию налогоплательщиков, которым планируется предоставление налоговой льготы;</w:t>
      </w:r>
    </w:p>
    <w:p>
      <w:pPr>
        <w:spacing w:after="120"/>
        <w:jc w:val="both"/>
      </w:pPr>
      <w:r>
        <w:rPr>
          <w:rFonts w:ascii="Arial" w:cs="Arial" w:eastAsia="Arial" w:hAnsi="Arial"/>
          <w:sz w:val="24"/>
          <w:szCs w:val="24"/>
        </w:rPr>
        <w:t xml:space="preserve">2) срок действия планируемой к предоставлению налоговой льготы, но не более 5 лет;</w:t>
      </w:r>
    </w:p>
    <w:p>
      <w:pPr>
        <w:spacing w:after="120"/>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 а также альтернативных путей решения указанных проблем;</w:t>
      </w:r>
    </w:p>
    <w:p>
      <w:pPr>
        <w:spacing w:after="120"/>
        <w:jc w:val="both"/>
      </w:pPr>
      <w:r>
        <w:rPr>
          <w:rFonts w:ascii="Arial" w:cs="Arial" w:eastAsia="Arial" w:hAnsi="Arial"/>
          <w:sz w:val="24"/>
          <w:szCs w:val="24"/>
        </w:rPr>
        <w:t xml:space="preserve">4) предоставление информации с указанием показателей соответствия предлагаемой налоговой льготы устойчивому развитию страны:</w:t>
      </w:r>
    </w:p>
    <w:p>
      <w:pPr>
        <w:spacing w:after="120"/>
        <w:jc w:val="both"/>
      </w:pPr>
      <w:r>
        <w:rPr>
          <w:rFonts w:ascii="Arial" w:cs="Arial" w:eastAsia="Arial" w:hAnsi="Arial"/>
          <w:sz w:val="24"/>
          <w:szCs w:val="24"/>
        </w:rPr>
        <w:t xml:space="preserve">- как будет стимулироваться устойчивое развитие экономики Кыргызской Республики (соответствие приоритетам среднесрочного устойчивого развития страны);</w:t>
      </w:r>
    </w:p>
    <w:p>
      <w:pPr>
        <w:spacing w:after="120"/>
        <w:jc w:val="both"/>
      </w:pPr>
      <w:r>
        <w:rPr>
          <w:rFonts w:ascii="Arial" w:cs="Arial" w:eastAsia="Arial" w:hAnsi="Arial"/>
          <w:sz w:val="24"/>
          <w:szCs w:val="24"/>
        </w:rPr>
        <w:t xml:space="preserve">- будут ли привлекаться инвестиции и финансирование в приоритетные сектора экономики для устойчивого развития;</w:t>
      </w:r>
    </w:p>
    <w:p>
      <w:pPr>
        <w:spacing w:after="120"/>
        <w:jc w:val="both"/>
      </w:pPr>
      <w:r>
        <w:rPr>
          <w:rFonts w:ascii="Arial" w:cs="Arial" w:eastAsia="Arial" w:hAnsi="Arial"/>
          <w:sz w:val="24"/>
          <w:szCs w:val="24"/>
        </w:rPr>
        <w:t xml:space="preserve">- достигаются ли основные приоритеты Национальной стратегии развития страны (соответствие приоритетам долгосрочного устойчивого развития страны);</w:t>
      </w:r>
    </w:p>
    <w:p>
      <w:pPr>
        <w:spacing w:after="120"/>
        <w:jc w:val="both"/>
      </w:pPr>
      <w:r>
        <w:rPr>
          <w:rFonts w:ascii="Arial" w:cs="Arial" w:eastAsia="Arial" w:hAnsi="Arial"/>
          <w:sz w:val="24"/>
          <w:szCs w:val="24"/>
        </w:rPr>
        <w:t xml:space="preserve">- направлено ли на социальную поддержку населения;</w:t>
      </w:r>
    </w:p>
    <w:p>
      <w:pPr>
        <w:spacing w:after="120"/>
        <w:jc w:val="both"/>
      </w:pPr>
      <w:r>
        <w:rPr>
          <w:rFonts w:ascii="Arial" w:cs="Arial" w:eastAsia="Arial" w:hAnsi="Arial"/>
          <w:sz w:val="24"/>
          <w:szCs w:val="24"/>
        </w:rPr>
        <w:t xml:space="preserve">- поощряется ли общественно полезная, в том числе благотворительная, деятельность;</w:t>
      </w:r>
    </w:p>
    <w:p>
      <w:pPr>
        <w:spacing w:after="120"/>
        <w:jc w:val="both"/>
      </w:pPr>
      <w:r>
        <w:rPr>
          <w:rFonts w:ascii="Arial" w:cs="Arial" w:eastAsia="Arial" w:hAnsi="Arial"/>
          <w:sz w:val="24"/>
          <w:szCs w:val="24"/>
        </w:rPr>
        <w:t xml:space="preserve">5) оценку суммы потерь государственного бюджета в результате предоставления налоговой льготы.</w:t>
      </w:r>
    </w:p>
    <w:p>
      <w:pPr>
        <w:spacing w:after="120"/>
        <w:jc w:val="both"/>
      </w:pPr>
      <w:r>
        <w:rPr>
          <w:rFonts w:ascii="Arial" w:cs="Arial" w:eastAsia="Arial" w:hAnsi="Arial"/>
          <w:sz w:val="24"/>
          <w:szCs w:val="24"/>
        </w:rPr>
        <w:t xml:space="preserve">24. Сумма потерь государственного бюджета рассчитывается по формуле:</w:t>
      </w:r>
    </w:p>
    <w:p>
      <w:pPr>
        <w:spacing w:after="120"/>
        <w:jc w:val="both"/>
      </w:pPr>
      <w:r>
        <w:rPr>
          <w:rFonts w:ascii="Arial" w:cs="Arial" w:eastAsia="Arial" w:hAnsi="Arial"/>
          <w:sz w:val="24"/>
          <w:szCs w:val="24"/>
        </w:rPr>
        <w:t xml:space="preserve">Пб (за год) = (НБ * СН) - (НБ * СНл), где:</w:t>
      </w:r>
    </w:p>
    <w:p>
      <w:pPr>
        <w:spacing w:after="120"/>
        <w:jc w:val="both"/>
      </w:pPr>
      <w:r>
        <w:rPr>
          <w:rFonts w:ascii="Arial" w:cs="Arial" w:eastAsia="Arial" w:hAnsi="Arial"/>
          <w:sz w:val="24"/>
          <w:szCs w:val="24"/>
        </w:rPr>
        <w:t xml:space="preserve">Пб (за год) - сумма потерь государственного бюджета за год;</w:t>
      </w:r>
    </w:p>
    <w:p>
      <w:pPr>
        <w:spacing w:after="120"/>
        <w:jc w:val="both"/>
      </w:pPr>
      <w:r>
        <w:rPr>
          <w:rFonts w:ascii="Arial" w:cs="Arial" w:eastAsia="Arial" w:hAnsi="Arial"/>
          <w:sz w:val="24"/>
          <w:szCs w:val="24"/>
        </w:rPr>
        <w:t xml:space="preserve">НБ - налогооблагаемая база;</w:t>
      </w:r>
    </w:p>
    <w:p>
      <w:pPr>
        <w:spacing w:after="120"/>
        <w:jc w:val="both"/>
      </w:pPr>
      <w:r>
        <w:rPr>
          <w:rFonts w:ascii="Arial" w:cs="Arial" w:eastAsia="Arial" w:hAnsi="Arial"/>
          <w:sz w:val="24"/>
          <w:szCs w:val="24"/>
        </w:rPr>
        <w:t xml:space="preserve">СН - ставка налога, установленная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СНл - ставка налога, применяемая с учетом предоставления налоговой льготы.</w:t>
      </w:r>
    </w:p>
    <w:p>
      <w:pPr>
        <w:spacing w:after="120"/>
        <w:jc w:val="both"/>
      </w:pPr>
      <w:r>
        <w:rPr>
          <w:rFonts w:ascii="Arial" w:cs="Arial" w:eastAsia="Arial" w:hAnsi="Arial"/>
          <w:sz w:val="24"/>
          <w:szCs w:val="24"/>
        </w:rPr>
        <w:t xml:space="preserve">25. В случае, если налоговую льготу планируется предоставить путем уменьшения налоговой базы, то потери государственного бюджета рассчитываются по следующей формуле:</w:t>
      </w:r>
    </w:p>
    <w:p>
      <w:pPr>
        <w:spacing w:after="120"/>
        <w:jc w:val="both"/>
      </w:pPr>
      <w:r>
        <w:rPr>
          <w:rFonts w:ascii="Arial" w:cs="Arial" w:eastAsia="Arial" w:hAnsi="Arial"/>
          <w:sz w:val="24"/>
          <w:szCs w:val="24"/>
        </w:rPr>
        <w:t xml:space="preserve">Пб (за год) = (НБ * СН) - (НБл * СН), где:</w:t>
      </w:r>
    </w:p>
    <w:p>
      <w:pPr>
        <w:spacing w:after="120"/>
        <w:jc w:val="both"/>
      </w:pPr>
      <w:r>
        <w:rPr>
          <w:rFonts w:ascii="Arial" w:cs="Arial" w:eastAsia="Arial" w:hAnsi="Arial"/>
          <w:sz w:val="24"/>
          <w:szCs w:val="24"/>
        </w:rPr>
        <w:t xml:space="preserve">Пб (за год) - сумма потерь государственного бюджета за год;</w:t>
      </w:r>
    </w:p>
    <w:p>
      <w:pPr>
        <w:spacing w:after="120"/>
        <w:jc w:val="both"/>
      </w:pPr>
      <w:r>
        <w:rPr>
          <w:rFonts w:ascii="Arial" w:cs="Arial" w:eastAsia="Arial" w:hAnsi="Arial"/>
          <w:sz w:val="24"/>
          <w:szCs w:val="24"/>
        </w:rPr>
        <w:t xml:space="preserve">НБ - налогооблагаемая база;</w:t>
      </w:r>
    </w:p>
    <w:p>
      <w:pPr>
        <w:spacing w:after="120"/>
        <w:jc w:val="both"/>
      </w:pPr>
      <w:r>
        <w:rPr>
          <w:rFonts w:ascii="Arial" w:cs="Arial" w:eastAsia="Arial" w:hAnsi="Arial"/>
          <w:sz w:val="24"/>
          <w:szCs w:val="24"/>
        </w:rPr>
        <w:t xml:space="preserve">СН - ставка налога, установленная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НБл - налоговая база при применении налоговой льготы.</w:t>
      </w:r>
    </w:p>
    <w:p>
      <w:pPr>
        <w:spacing w:after="120"/>
        <w:jc w:val="both"/>
      </w:pPr>
      <w:r>
        <w:rPr>
          <w:rFonts w:ascii="Arial" w:cs="Arial" w:eastAsia="Arial" w:hAnsi="Arial"/>
          <w:sz w:val="24"/>
          <w:szCs w:val="24"/>
        </w:rPr>
        <w:t xml:space="preserve">26. Уполномоченный государственный орган совместно с уполномоченным налоговым органом и уполномоченным органом в сфере таможенного дела вправе определять категорию налогоплательщиков или отрасль, которая будет использовать предлагаемую налоговую льготу и при необходимости направлять запросы в Национальный статистический комитет Кыргызской Республики и другие государственные органы для предоставления необходимых сведений.</w:t>
      </w:r>
    </w:p>
    <w:p>
      <w:pPr>
        <w:spacing w:after="120"/>
        <w:jc w:val="both"/>
      </w:pPr>
      <w:r>
        <w:rPr>
          <w:rFonts w:ascii="Arial" w:cs="Arial" w:eastAsia="Arial" w:hAnsi="Arial"/>
          <w:sz w:val="24"/>
          <w:szCs w:val="24"/>
        </w:rPr>
        <w:t xml:space="preserve">27. Налоговая льгота признается эффективной, если достигнута положительная динамика не менее чем по 5 показателям финансово-экономической деятельности. При достижении положительной динамики менее чем по 5 показателям финансово-экономической деятельности налоговая льгота имеет отрицательную оценку эффективности.</w:t>
      </w:r>
    </w:p>
    <w:p>
      <w:pPr>
        <w:spacing w:after="120"/>
        <w:jc w:val="both"/>
      </w:pPr>
      <w:r>
        <w:rPr>
          <w:rFonts w:ascii="Arial" w:cs="Arial" w:eastAsia="Arial" w:hAnsi="Arial"/>
          <w:sz w:val="24"/>
          <w:szCs w:val="24"/>
        </w:rPr>
        <w:t xml:space="preserve">28. Уполномоченный государственный орган формирует межведомственную рабочую группу, которая рассматривает предложение и показатели финансово-экономической деятельности согласно </w:t>
      </w:r>
      <w:hyperlink w:history="1" r:id="rIdbxtzqsfqv5jkyvcx9nxh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При необходимости межведомственная рабочая группа просит уполномоченный государственный орган запросить сведения у государственных органов, бизнес-ассоциаций и субъектов предпринимательства.</w:t>
      </w:r>
    </w:p>
    <w:p>
      <w:pPr>
        <w:spacing w:after="120"/>
        <w:jc w:val="both"/>
      </w:pPr>
      <w:r>
        <w:rPr>
          <w:rFonts w:ascii="Arial" w:cs="Arial" w:eastAsia="Arial" w:hAnsi="Arial"/>
          <w:sz w:val="24"/>
          <w:szCs w:val="24"/>
        </w:rPr>
        <w:t xml:space="preserve">29. Межведомственная рабочая группа на основании предложения и показателей финансово-экономической деятельности согласно </w:t>
      </w:r>
      <w:hyperlink w:history="1" r:id="rIdqp1bvbwtzyo4sxoke4wj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проводит итоговую оценку и вносит в уполномоченный государственный орган предложение с </w:t>
      </w:r>
      <w:hyperlink w:history="1" r:id="rIdqbqdeamagyjgj6mqjhbmv">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30. Уполномоченный государственный орган на основании итоговой оценки межведомственной рабочей группы в письменном виде информирует инициатора о положительных или отрицательных итогах оценки эффективности налоговой льготы.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Финансово-экономические и социальные показатели </w:t>
      </w:r>
    </w:p>
    <w:p>
      <w:pPr>
        <w:spacing w:after="120"/>
        <w:jc w:val="center"/>
      </w:pPr>
      <w:r>
        <w:rPr>
          <w:rFonts w:ascii="Arial" w:cs="Arial" w:eastAsia="Arial" w:hAnsi="Arial"/>
          <w:b w:val="false"/>
          <w:bCs w:val="false"/>
          <w:sz w:val="24"/>
          <w:szCs w:val="24"/>
        </w:rPr>
        <w:t xml:space="preserve">деятельности налогоплательщиков, воспользовавшихся </w:t>
      </w:r>
    </w:p>
    <w:p>
      <w:pPr>
        <w:spacing w:after="120"/>
        <w:jc w:val="center"/>
      </w:pPr>
      <w:r>
        <w:rPr>
          <w:rFonts w:ascii="Arial" w:cs="Arial" w:eastAsia="Arial" w:hAnsi="Arial"/>
          <w:b w:val="false"/>
          <w:bCs w:val="false"/>
          <w:sz w:val="24"/>
          <w:szCs w:val="24"/>
        </w:rPr>
        <w:t xml:space="preserve">налоговой льготой в отчетный год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875"/>
        <w:gridCol w:w="935"/>
        <w:gridCol w:w="1319"/>
        <w:gridCol w:w="1421"/>
        <w:gridCol w:w="2105"/>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Базовый период</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Отчетный период</w:t>
            </w:r>
          </w:p>
        </w:tc>
        <w:tc>
          <w:tcPr>
            <w:tcW w:type="dxa" w:w="2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гр.5=гр.4/гр.3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товаров, работ, оказания услуг (без учета НДС, НсП, акциза и аналогичных обязательных платежей)</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 ед.</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 (без НДС и акциза)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от операционной деятельности</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операционной деятельности</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(на конец года)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принимаемая для исчисления средней заработной платы</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одного работника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период - год, предшествующий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Отчетный период - оцениваемый отчетный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Суммы налогов, уплаченных в государственный бюджет </w:t>
      </w:r>
    </w:p>
    <w:p>
      <w:pPr>
        <w:spacing w:after="120"/>
        <w:jc w:val="center"/>
      </w:pPr>
      <w:r>
        <w:rPr>
          <w:rFonts w:ascii="Arial" w:cs="Arial" w:eastAsia="Arial" w:hAnsi="Arial"/>
          <w:b w:val="false"/>
          <w:bCs w:val="false"/>
          <w:sz w:val="24"/>
          <w:szCs w:val="24"/>
        </w:rPr>
        <w:t xml:space="preserve">налогоплательщиками, которые воспользовались </w:t>
      </w:r>
    </w:p>
    <w:p>
      <w:pPr>
        <w:spacing w:after="120"/>
        <w:jc w:val="center"/>
      </w:pPr>
      <w:r>
        <w:rPr>
          <w:rFonts w:ascii="Arial" w:cs="Arial" w:eastAsia="Arial" w:hAnsi="Arial"/>
          <w:b w:val="false"/>
          <w:bCs w:val="false"/>
          <w:sz w:val="24"/>
          <w:szCs w:val="24"/>
        </w:rPr>
        <w:t xml:space="preserve">налоговой льготой за отчетный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414"/>
        <w:gridCol w:w="965"/>
        <w:gridCol w:w="1398"/>
        <w:gridCol w:w="1500"/>
        <w:gridCol w:w="2378"/>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период</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период</w:t>
            </w:r>
          </w:p>
        </w:tc>
        <w:tc>
          <w:tcPr>
            <w:tcW w:type="dxa" w:w="23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гр.5=гр.4/гр.3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сумма уплаченных в государственный бюджет налогов в т.ч.:</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Базовый период - год, предшествующий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Отчетный период - оцениваемый отчетный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Финансово-экономические и социальные показатели </w:t>
      </w:r>
    </w:p>
    <w:p>
      <w:pPr>
        <w:spacing w:after="120"/>
        <w:jc w:val="center"/>
      </w:pPr>
      <w:r>
        <w:rPr>
          <w:rFonts w:ascii="Arial" w:cs="Arial" w:eastAsia="Arial" w:hAnsi="Arial"/>
          <w:b w:val="false"/>
          <w:bCs w:val="false"/>
          <w:sz w:val="24"/>
          <w:szCs w:val="24"/>
        </w:rPr>
        <w:t xml:space="preserve">деятельности налогоплательщиков, которые </w:t>
      </w:r>
    </w:p>
    <w:p>
      <w:pPr>
        <w:spacing w:after="120"/>
        <w:jc w:val="center"/>
      </w:pPr>
      <w:r>
        <w:rPr>
          <w:rFonts w:ascii="Arial" w:cs="Arial" w:eastAsia="Arial" w:hAnsi="Arial"/>
          <w:b w:val="false"/>
          <w:bCs w:val="false"/>
          <w:sz w:val="24"/>
          <w:szCs w:val="24"/>
        </w:rPr>
        <w:t xml:space="preserve">воспользовались налоговой льготой, применяемой в </w:t>
      </w:r>
    </w:p>
    <w:p>
      <w:pPr>
        <w:spacing w:after="120"/>
        <w:jc w:val="center"/>
      </w:pPr>
      <w:r>
        <w:rPr>
          <w:rFonts w:ascii="Arial" w:cs="Arial" w:eastAsia="Arial" w:hAnsi="Arial"/>
          <w:b w:val="false"/>
          <w:bCs w:val="false"/>
          <w:sz w:val="24"/>
          <w:szCs w:val="24"/>
        </w:rPr>
        <w:t xml:space="preserve">течение 5 и более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513"/>
        <w:gridCol w:w="918"/>
        <w:gridCol w:w="643"/>
        <w:gridCol w:w="643"/>
        <w:gridCol w:w="643"/>
        <w:gridCol w:w="643"/>
        <w:gridCol w:w="643"/>
        <w:gridCol w:w="2009"/>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год</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гр.8=гр.7/гр.3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гр.8</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товаров, работ, оказания услуг (без учета НДС, НсП, акциза и аналогичных обязательных платежей)</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натур. ед.</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 (без НДС и акциза)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от операционной деятельности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операционной деятельности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(на конец года)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принимаемая для исчисления средней заработной платы</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одного работника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Суммы налогов, уплаченных в государственный бюджет </w:t>
      </w:r>
    </w:p>
    <w:p>
      <w:pPr>
        <w:spacing w:after="120"/>
        <w:jc w:val="center"/>
      </w:pPr>
      <w:r>
        <w:rPr>
          <w:rFonts w:ascii="Arial" w:cs="Arial" w:eastAsia="Arial" w:hAnsi="Arial"/>
          <w:b w:val="false"/>
          <w:bCs w:val="false"/>
          <w:sz w:val="24"/>
          <w:szCs w:val="24"/>
        </w:rPr>
        <w:t xml:space="preserve">налогоплательщиками, которые воспользовались налоговой </w:t>
      </w:r>
    </w:p>
    <w:p>
      <w:pPr>
        <w:spacing w:after="120"/>
        <w:jc w:val="center"/>
      </w:pPr>
      <w:r>
        <w:rPr>
          <w:rFonts w:ascii="Arial" w:cs="Arial" w:eastAsia="Arial" w:hAnsi="Arial"/>
          <w:b w:val="false"/>
          <w:bCs w:val="false"/>
          <w:sz w:val="24"/>
          <w:szCs w:val="24"/>
        </w:rPr>
        <w:t xml:space="preserve">льготой в течение периода, превышающего 5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182"/>
        <w:gridCol w:w="944"/>
        <w:gridCol w:w="655"/>
        <w:gridCol w:w="655"/>
        <w:gridCol w:w="655"/>
        <w:gridCol w:w="655"/>
        <w:gridCol w:w="655"/>
        <w:gridCol w:w="2253"/>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год</w:t>
            </w:r>
          </w:p>
        </w:tc>
        <w:tc>
          <w:tcPr>
            <w:tcW w:type="dxa" w:w="2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%гр.8=гр.7/гр.3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w:t>
            </w:r>
          </w:p>
        </w:tc>
        <w:tc>
          <w:tcPr>
            <w:tcW w:type="dxa" w:w="2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гр.8</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сумма уплаченных в государственный бюджет налогов в т.ч.:</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налоговых льгот, подлежащих оценке эффективности налоговых льгот</w:t>
      </w:r>
    </w:p>
    <w:p>
      <w:pPr>
        <w:spacing w:after="120"/>
        <w:jc w:val="center"/>
      </w:pPr>
      <w:r>
        <w:rPr>
          <w:rFonts w:ascii="Arial" w:cs="Arial" w:eastAsia="Arial" w:hAnsi="Arial"/>
          <w:i/>
          <w:iCs/>
          <w:sz w:val="20"/>
          <w:szCs w:val="20"/>
        </w:rPr>
        <w:t xml:space="preserve">(В редакции постановления Кабинета Министров КР от </w:t>
      </w:r>
      <w:hyperlink w:history="1" r:id="rIdol1hxq5zmn0g38ug5zqpa">
        <w:r>
          <w:rPr>
            <w:rFonts w:ascii="Arial" w:cs="Arial" w:eastAsia="Arial" w:hAnsi="Arial"/>
            <w:i/>
            <w:iCs/>
            <w:color w:val="1D4ED8"/>
            <w:sz w:val="20"/>
            <w:szCs w:val="20"/>
            <w:u w:val="single"/>
          </w:rPr>
          <w:t xml:space="preserve">2 июня 2026 года № 385</w:t>
        </w:r>
      </w:hyperlink>
      <w:r>
        <w:rPr>
          <w:rFonts w:ascii="Arial" w:cs="Arial" w:eastAsia="Arial" w:hAnsi="Arial"/>
          <w:i/>
          <w:iCs/>
          <w:sz w:val="20"/>
          <w:szCs w:val="20"/>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8528"/>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 Налогового Кодекса Кыргызской Республики</w:t>
            </w:r>
          </w:p>
        </w:tc>
        <w:tc>
          <w:tcPr>
            <w:tcW w:type="dxa" w:w="8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льготы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этап (2023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кредитного союза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этап (2024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от другой деятельности: проценты по вкладу в банк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r>
              <w:rPr>
                <w:rFonts w:ascii="Arial" w:cs="Arial" w:eastAsia="Arial" w:hAnsi="Arial"/>
                <w:sz w:val="24"/>
                <w:szCs w:val="24"/>
              </w:rPr>
              <w:t xml:space="preserve">1) сумму НДС за приобретенные материальные ресурсы, не подлежащую зачету;</w:t>
            </w:r>
            <w:r>
              <w:rPr>
                <w:rFonts w:ascii="Arial" w:cs="Arial" w:eastAsia="Arial" w:hAnsi="Arial"/>
                <w:sz w:val="24"/>
                <w:szCs w:val="24"/>
              </w:rPr>
              <w:t xml:space="preserve">2) сумму акцизного налога, не подлежащую вычету;</w:t>
            </w: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r>
              <w:rPr>
                <w:rFonts w:ascii="Arial" w:cs="Arial" w:eastAsia="Arial" w:hAnsi="Arial"/>
                <w:sz w:val="24"/>
                <w:szCs w:val="24"/>
              </w:rPr>
              <w:t xml:space="preserve">5) налог на имущество;</w:t>
            </w:r>
            <w:r>
              <w:rPr>
                <w:rFonts w:ascii="Arial" w:cs="Arial" w:eastAsia="Arial" w:hAnsi="Arial"/>
                <w:sz w:val="24"/>
                <w:szCs w:val="24"/>
              </w:rPr>
              <w:t xml:space="preserve">6) налоги за пользование недрами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w:t>
            </w: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этап (2025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полученные некоммерческими организациями:</w:t>
            </w:r>
            <w:r>
              <w:rPr>
                <w:rFonts w:ascii="Arial" w:cs="Arial" w:eastAsia="Arial" w:hAnsi="Arial"/>
                <w:sz w:val="24"/>
                <w:szCs w:val="24"/>
              </w:rPr>
              <w:t xml:space="preserve">а) членские и вступительные взносы;</w:t>
            </w: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части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является поставкой, освобожденной от НДС.</w:t>
            </w: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w:t>
            </w:r>
            <w:r>
              <w:rPr>
                <w:rFonts w:ascii="Arial" w:cs="Arial" w:eastAsia="Arial" w:hAnsi="Arial"/>
                <w:sz w:val="24"/>
                <w:szCs w:val="24"/>
              </w:rPr>
              <w:t xml:space="preserve">1) товара банком:</w:t>
            </w: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r>
              <w:rPr>
                <w:rFonts w:ascii="Arial" w:cs="Arial" w:eastAsia="Arial" w:hAnsi="Arial"/>
                <w:sz w:val="24"/>
                <w:szCs w:val="24"/>
              </w:rPr>
              <w:t xml:space="preserve">б) по договору мурабаха в соответствии с исламским финансированием;</w:t>
            </w:r>
            <w:r>
              <w:rPr>
                <w:rFonts w:ascii="Arial" w:cs="Arial" w:eastAsia="Arial" w:hAnsi="Arial"/>
                <w:sz w:val="24"/>
                <w:szCs w:val="24"/>
              </w:rPr>
              <w:t xml:space="preserve">2)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275</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283</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реактивное топливо, импортируемое на территорию Кыргызской Республики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322</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 подлежащая уплате в бюджет налогоплательщиком НДС, исчисленная в соответствии с частью 2 </w:t>
            </w:r>
            <w:r>
              <w:rPr>
                <w:rFonts w:ascii="Arial" w:cs="Arial" w:eastAsia="Arial" w:hAnsi="Arial"/>
                <w:sz w:val="24"/>
                <w:szCs w:val="24"/>
              </w:rPr>
              <w:t xml:space="preserve">статьи 314</w:t>
            </w:r>
            <w:r>
              <w:rPr>
                <w:rFonts w:ascii="Arial" w:cs="Arial" w:eastAsia="Arial" w:hAnsi="Arial"/>
                <w:sz w:val="24"/>
                <w:szCs w:val="24"/>
              </w:rPr>
              <w:t xml:space="preserve"> Налогового кодекса Кыргызской Республики (далее - Налоговый Кодекс), уменьшается на 80 процентов при условии ведения налогоплательщиком раздельного учета по:</w:t>
            </w:r>
            <w:r>
              <w:rPr>
                <w:rFonts w:ascii="Arial" w:cs="Arial" w:eastAsia="Arial" w:hAnsi="Arial"/>
                <w:sz w:val="24"/>
                <w:szCs w:val="24"/>
              </w:rPr>
              <w:t xml:space="preserve">1) промышленной переработке сельскохозяйственной продукции из сырья отечественного производства;</w:t>
            </w:r>
            <w:r>
              <w:rPr>
                <w:rFonts w:ascii="Arial" w:cs="Arial" w:eastAsia="Arial" w:hAnsi="Arial"/>
                <w:sz w:val="24"/>
                <w:szCs w:val="24"/>
              </w:rPr>
              <w:t xml:space="preserve">2) производству ювелирных изделий из драгоценных металлов отечественного производства и лома - до 1 января 2027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w:t>
            </w:r>
            <w:r>
              <w:rPr>
                <w:rFonts w:ascii="Arial" w:cs="Arial" w:eastAsia="Arial" w:hAnsi="Arial"/>
                <w:sz w:val="24"/>
                <w:szCs w:val="24"/>
              </w:rPr>
              <w:t xml:space="preserve">1) электроэнергии, теплоэнергии и природного газа физическому лицу для бытовых целей;</w:t>
            </w:r>
            <w:r>
              <w:rPr>
                <w:rFonts w:ascii="Arial" w:cs="Arial" w:eastAsia="Arial" w:hAnsi="Arial"/>
                <w:sz w:val="24"/>
                <w:szCs w:val="24"/>
              </w:rPr>
              <w:t xml:space="preserve">2) банком:</w:t>
            </w: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этап (2026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1, 2,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детское питание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r>
              <w:rPr>
                <w:rFonts w:ascii="Arial" w:cs="Arial" w:eastAsia="Arial" w:hAnsi="Arial"/>
                <w:sz w:val="24"/>
                <w:szCs w:val="24"/>
              </w:rPr>
              <w:t xml:space="preserve">Кодексом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кладбищ</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резидента Парка высоких технологий, отвечающая требованиям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r>
              <w:rPr>
                <w:rFonts w:ascii="Arial" w:cs="Arial" w:eastAsia="Arial" w:hAnsi="Arial"/>
                <w:sz w:val="24"/>
                <w:szCs w:val="24"/>
              </w:rPr>
              <w:t xml:space="preserve">1) налог на прибыль;</w:t>
            </w:r>
            <w:r>
              <w:rPr>
                <w:rFonts w:ascii="Arial" w:cs="Arial" w:eastAsia="Arial" w:hAnsi="Arial"/>
                <w:sz w:val="24"/>
                <w:szCs w:val="24"/>
              </w:rPr>
              <w:t xml:space="preserve">2) налог с продаж;</w:t>
            </w:r>
            <w:r>
              <w:rPr>
                <w:rFonts w:ascii="Arial" w:cs="Arial" w:eastAsia="Arial" w:hAnsi="Arial"/>
                <w:sz w:val="24"/>
                <w:szCs w:val="24"/>
              </w:rPr>
              <w:t xml:space="preserve">3) НДС на облагаемые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этап (2027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пункты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r>
              <w:rPr>
                <w:rFonts w:ascii="Arial" w:cs="Arial" w:eastAsia="Arial" w:hAnsi="Arial"/>
                <w:sz w:val="24"/>
                <w:szCs w:val="24"/>
              </w:rPr>
              <w:t xml:space="preserve">9) призов от участия в международных конкурсах, фестивалях;</w:t>
            </w:r>
            <w:r>
              <w:rPr>
                <w:rFonts w:ascii="Arial" w:cs="Arial" w:eastAsia="Arial" w:hAnsi="Arial"/>
                <w:sz w:val="24"/>
                <w:szCs w:val="24"/>
              </w:rPr>
              <w:t xml:space="preserve">10) премий, присужденных международными организациями (фондами)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пункты 1, 6,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3, 5,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r>
              <w:rPr>
                <w:rFonts w:ascii="Arial" w:cs="Arial" w:eastAsia="Arial" w:hAnsi="Arial"/>
                <w:sz w:val="24"/>
                <w:szCs w:val="24"/>
              </w:rPr>
              <w:t xml:space="preserve">3) доход по договору мудараба в соответствии с исламским финансированием;</w:t>
            </w: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полученная банком по договору шарика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(ресурсо-) эффективности, определяемым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этап (2028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этап (2029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социально незащищенных категорий налогоплательщиков: оплата услуг персонального ассистента ребенка и/или лица с ограниченными возможностями здоровья, нуждающегося в постоянном уходе и надзоре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премий, выплачиваемых членам национальных сборных команд по олимпийским видам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в сфере образования, экологии,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и обслуживание ККМ, включенных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пункты 24, 24-1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следующие товары, импортируемые на территорию Кыргызской Республики:</w:t>
            </w: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24-3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и/или запчасти к электронным устройствам, указанным в пункте 24-2 части 1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предназначенные для развития спорта, импортируемые субъектами, определяемыми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благотворительными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договору о социально значимом объекте в порядке и на условиях, установленных частью 2 статьи 295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этап (2030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доходы социально незащищенных категорий налогоплательщиков: доходы нетрудоспособных граждан, членов малообеспеченных и малоимущих семей, полученные в виде денежных средств и имущества от некоммерческих организаций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гуманитарной помощи, специальных товаров и деталей, приобретенных из-за границы в целях поддержки людей с ограниченными возможностями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6</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от реализации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за исключением автомототранспортного средства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следующие доходы налогоплательщика от другой деятельности:</w:t>
            </w: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отечественной организации физическим лицом:</w:t>
            </w:r>
            <w:r>
              <w:rPr>
                <w:rFonts w:ascii="Arial" w:cs="Arial" w:eastAsia="Arial" w:hAnsi="Arial"/>
                <w:sz w:val="24"/>
                <w:szCs w:val="24"/>
              </w:rPr>
              <w:t xml:space="preserve">а) гражданином Кыргызской Республики вне зависимости от его резидентства;</w:t>
            </w: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10-1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плата за услугу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налогоплательщика, зарегистрированного и осуществляющего деятельность в преференциальных приграничных населенных пунктах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организаций, осуществляющих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240</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r>
              <w:rPr>
                <w:rFonts w:ascii="Arial" w:cs="Arial" w:eastAsia="Arial" w:hAnsi="Arial"/>
                <w:b/>
                <w:bCs/>
                <w:sz w:val="24"/>
                <w:szCs w:val="24"/>
              </w:rPr>
              <w:t xml:space="preserve">подпункт а</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в области религии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выполнение работ и оказание услуг, осуществляемых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специализированные товары для лиц с ограниченными возможностями здоровья, импортируемые на территорию Кыргызской Республики некоммерческими организациями, республиканским учреждением протезно-ортопедических изделий или физическими лицами для личного 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драгоценные металлы, в том числе аффинированные стандартные и мерные слитки, инвестиционные монеты, ввозимые Национальным банком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производителем таких изделий для собственных производственных целей металлосодержащие руды, концентраты, сплавы и аффинированные металлы, предназначенные для производства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субъектами, определяемыми Кабинетом Министров, оборудование и технологии, реактивы и полуфабрикаты, предназначенные для ювелирного производства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301</w:t>
            </w:r>
            <w:r>
              <w:rPr>
                <w:rFonts w:ascii="Arial" w:cs="Arial" w:eastAsia="Arial" w:hAnsi="Arial"/>
                <w:b/>
                <w:bCs/>
                <w:sz w:val="24"/>
                <w:szCs w:val="24"/>
              </w:rPr>
              <w:t xml:space="preserve">части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r>
              <w:rPr>
                <w:rFonts w:ascii="Arial" w:cs="Arial" w:eastAsia="Arial" w:hAnsi="Arial"/>
                <w:sz w:val="24"/>
                <w:szCs w:val="24"/>
              </w:rPr>
              <w:t xml:space="preserve">1) основного средства непосредственно для собственных производственных целей;</w:t>
            </w: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r>
              <w:rPr>
                <w:rFonts w:ascii="Arial" w:cs="Arial" w:eastAsia="Arial" w:hAnsi="Arial"/>
                <w:sz w:val="24"/>
                <w:szCs w:val="24"/>
              </w:rPr>
              <w:t xml:space="preserve">1) сельскохозяйственным производителем;</w:t>
            </w: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r>
              <w:rPr>
                <w:rFonts w:ascii="Arial" w:cs="Arial" w:eastAsia="Arial" w:hAnsi="Arial"/>
                <w:sz w:val="24"/>
                <w:szCs w:val="24"/>
              </w:rPr>
              <w:t xml:space="preserve">3) машинно-тракторной станцией;</w:t>
            </w:r>
            <w:r>
              <w:rPr>
                <w:rFonts w:ascii="Arial" w:cs="Arial" w:eastAsia="Arial" w:hAnsi="Arial"/>
                <w:sz w:val="24"/>
                <w:szCs w:val="24"/>
              </w:rPr>
              <w:t xml:space="preserve">4) торгово-логистическим центром сельскохозяйственного назначения;</w:t>
            </w:r>
            <w:r>
              <w:rPr>
                <w:rFonts w:ascii="Arial" w:cs="Arial" w:eastAsia="Arial" w:hAnsi="Arial"/>
                <w:sz w:val="24"/>
                <w:szCs w:val="24"/>
              </w:rPr>
              <w:t xml:space="preserve">6) производителем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349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бонуса сельскохозяйственный производитель по отбору (извлечению из недр) подземных вод при их использовании для сельскохозяйственных нужд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предприятий, выпускающих подакцизные товары)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объединением юридических лиц, объединением работодателей, общественным объединением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организациями, осуществляющими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на территории таможенного склада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365</w:t>
            </w:r>
            <w:r>
              <w:rPr>
                <w:rFonts w:ascii="Arial" w:cs="Arial" w:eastAsia="Arial" w:hAnsi="Arial"/>
                <w:b/>
                <w:bCs/>
                <w:sz w:val="24"/>
                <w:szCs w:val="24"/>
              </w:rPr>
              <w:t xml:space="preserve">часть 2</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являются объектом налогообложения налога с продаж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осуществляемая на профессиональной основе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w:t>
            </w:r>
          </w:p>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звания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организации, осуществляющие деятельность в сфере футбола</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rsucydcte3mkuwogr0bx" Type="http://schemas.openxmlformats.org/officeDocument/2006/relationships/hyperlink" Target="http://kodeks.duckdns.org/document/160522" TargetMode="External"/><Relationship Id="rId9dixgvquq4prbmuqhawgb" Type="http://schemas.openxmlformats.org/officeDocument/2006/relationships/hyperlink" Target="http://kodeks.duckdns.org/document/230049702" TargetMode="External"/><Relationship Id="rIdf8yhpoyutr9cysb8qpgw8" Type="http://schemas.openxmlformats.org/officeDocument/2006/relationships/hyperlink" Target="http://kodeks.duckdns.org/document/112340" TargetMode="External"/><Relationship Id="rId_42x__dhk3f9cquxbjszj" Type="http://schemas.openxmlformats.org/officeDocument/2006/relationships/hyperlink" Target="http://kodeks.duckdns.org/document/160524#pr6" TargetMode="External"/><Relationship Id="rIdr7kkingrsfvg6zhwsljf_" Type="http://schemas.openxmlformats.org/officeDocument/2006/relationships/hyperlink" Target="http://kodeks.duckdns.org/document/160524#pr6" TargetMode="External"/><Relationship Id="rIdkse4i-mpes2lvhxcvb_iu" Type="http://schemas.openxmlformats.org/officeDocument/2006/relationships/hyperlink" Target="http://kodeks.duckdns.org/document/160523#pr1" TargetMode="External"/><Relationship Id="rIdmgsogg0l3nn4afad8634d" Type="http://schemas.openxmlformats.org/officeDocument/2006/relationships/hyperlink" Target="http://kodeks.duckdns.org/document/160523#pr2" TargetMode="External"/><Relationship Id="rIdttwzq5es-g_4k-2j6twnf" Type="http://schemas.openxmlformats.org/officeDocument/2006/relationships/hyperlink" Target="http://kodeks.duckdns.org/document/160523#pr3" TargetMode="External"/><Relationship Id="rIdcdemvtddxkwwg8vj-b8vq" Type="http://schemas.openxmlformats.org/officeDocument/2006/relationships/hyperlink" Target="http://kodeks.duckdns.org/document/160523#pr4" TargetMode="External"/><Relationship Id="rIds54gchgg-nko7miobod6a" Type="http://schemas.openxmlformats.org/officeDocument/2006/relationships/hyperlink" Target="http://kodeks.duckdns.org/document/160523#pr1" TargetMode="External"/><Relationship Id="rIde35zbrjlgy3mps2gaymhp" Type="http://schemas.openxmlformats.org/officeDocument/2006/relationships/hyperlink" Target="http://kodeks.duckdns.org/document/160523#pr3" TargetMode="External"/><Relationship Id="rIdzzdnsslal14jjlt8ig1eq" Type="http://schemas.openxmlformats.org/officeDocument/2006/relationships/hyperlink" Target="http://kodeks.duckdns.org/document/160523#pr1" TargetMode="External"/><Relationship Id="rIdhhcouky8xxaftvv0doku3" Type="http://schemas.openxmlformats.org/officeDocument/2006/relationships/hyperlink" Target="http://kodeks.duckdns.org/document/160523#pr2" TargetMode="External"/><Relationship Id="rIdq8gu_aqxysaitbiirmh2u" Type="http://schemas.openxmlformats.org/officeDocument/2006/relationships/hyperlink" Target="http://kodeks.duckdns.org/document/160523#pr3" TargetMode="External"/><Relationship Id="rId-ayccydj1qax7jqoraxie" Type="http://schemas.openxmlformats.org/officeDocument/2006/relationships/hyperlink" Target="http://kodeks.duckdns.org/document/160523#pr4" TargetMode="External"/><Relationship Id="rIdktalg18vdgjoee_qvr_hl" Type="http://schemas.openxmlformats.org/officeDocument/2006/relationships/hyperlink" Target="http://kodeks.duckdns.org/document/160523#pr3" TargetMode="External"/><Relationship Id="rId21ahob8du4224drpc1bqx" Type="http://schemas.openxmlformats.org/officeDocument/2006/relationships/hyperlink" Target="http://kodeks.duckdns.org/document/160523#pr4" TargetMode="External"/><Relationship Id="rIddbr4cphlt-t-ctpl0abx_" Type="http://schemas.openxmlformats.org/officeDocument/2006/relationships/hyperlink" Target="http://kodeks.duckdns.org/document/160523#pr5" TargetMode="External"/><Relationship Id="rIdbxtzqsfqv5jkyvcx9nxhx" Type="http://schemas.openxmlformats.org/officeDocument/2006/relationships/hyperlink" Target="http://kodeks.duckdns.org/document/160523#pr5" TargetMode="External"/><Relationship Id="rIdqp1bvbwtzyo4sxoke4wjb" Type="http://schemas.openxmlformats.org/officeDocument/2006/relationships/hyperlink" Target="http://kodeks.duckdns.org/document/160523#pr5" TargetMode="External"/><Relationship Id="rIdqbqdeamagyjgj6mqjhbmv" Type="http://schemas.openxmlformats.org/officeDocument/2006/relationships/hyperlink" Target="http://kodeks.duckdns.org/document/160523#pr5" TargetMode="External"/><Relationship Id="rIdol1hxq5zmn0g38ug5zqpa" Type="http://schemas.openxmlformats.org/officeDocument/2006/relationships/hyperlink" Target="http://kodeks.duckdns.org/document/230049702"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2026-09-23T09:36:20.091Z</dcterms:created>
  <dcterms:modified xsi:type="dcterms:W3CDTF">2026-09-23T09:36:20.091Z</dcterms:modified>
</cp:coreProperties>
</file>

<file path=docProps/custom.xml><?xml version="1.0" encoding="utf-8"?>
<Properties xmlns="http://schemas.openxmlformats.org/officeDocument/2006/custom-properties" xmlns:vt="http://schemas.openxmlformats.org/officeDocument/2006/docPropsVTypes"/>
</file>