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Ратифицировано Законом КР от </w:t>
      </w:r>
      <w:hyperlink w:history="1" r:id="rIdiil5e6-og-2wipbz8a0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1999 года № 6</w:t>
        </w:r>
      </w:hyperlink>
      <w:r>
        <w:rPr>
          <w:rFonts w:ascii="Arial" w:cs="Arial" w:eastAsia="Arial" w:hAnsi="Arial"/>
          <w:sz w:val="24"/>
          <w:szCs w:val="24"/>
        </w:rPr>
        <w:t xml:space="preserve"> г.Алматыот 10 февраля 1995 года                               СОГЛАШЕНИЕ     об освобождении от уплаты таможенных пошлин, налогов и выдачи       специальных разрешений за провоз нормативных документов,          эталонов, средств измерений и стандартных образцов,        провозимых с целью поверки и метрологической аттестации      Правительства государств-участников  настоящего Соглашения,  далееименуемые Сторонами,     основываясь на  Соглашении  о  проведении согласованной политики вобласти стандартизации,  метрологии и сертификации от 13 марта 1992 го-да,     учитывая сложившуюся на территориях государств-участников Соглаше-ния  метрологическую  базу и специализацию предприятий по производству,поверке и метрологической аттестации средств  измерений  и  стандартныхобразцов,     сознавая необходимость соблюдения согласованной методологии  обес-печения единства измерений и технологии подготовки и обмена научно-тех-нической информацией об эталонах, стандартных образцах, средствах изме-рений утвержденных типов и действующих нормативных документов,  а такжевыполнения соответствующих международных обязательств в рамках Междуна-родной  организации  законодательной  метрологии (МОЗМ) и Международнойорганизации по стандартизации (ИСО),     согласились о нижеследующем:                                Статья 1      Объектом настоящего  Соглашения  являются  нормативные  документы,применяемые в системе стандартизации, метрологии и сертификации, этало-ны,  средства  измерений и стандартные образцы,  именуемые в дальнейшем"товары".                                Статья 2      Товары, провозимые в целях поверки и  метрологической  аттестации,освобождаются от уплаты таможенных пошлин, налогов и выдачи специальныхразрешений.                                Статья 3      Перечни (номенклатуру) товаров,  подлежащих провозу, устанавливаютнациональные органы по стандартизации, метрологии и сертификации.                                Статья 4      Споры и разногласия относительно толкования или применения настоя-щего Соглашения разрешаются путем проведения консультации (переговоров)между заинтересованными Сторонами.                                Статья 5      Настоящее Соглашение открыто для присоединения к нему других госу-дарств, полностью разделяющих его цели и принципы, путем передачи депо-зитарию - Правительству Республики Беларусь документов о присоединении.                                Статья 6      Настоящее Соглашение заключается на неограниченный срок.     Каждая Сторона имеет право выйти из настоящего Соглашения,  уведо-мив  в  письменной форме депозитария о своем решении не менее чем за 12месяцев до предполагаемого выхода.                                Статья 7      Настоящее Соглашение  вступает в силу (*) со дня сдачи на хранениедепозитарию третьего уведомления о выполнении государствами внутригосу-дарственных процедур, необходимых для его вступления в силу.     Совершено в  городе  Алматы 10 февраля 1995 года в одном подлинномэкземпляре на русском языке. Подлинный экземпляр хранится в Архиве Пра-вительства  Республики Беларусь,  которое направит каждому государству,подписавшему настоящее Соглашение, его заверенную копию.      подписи (*) Вступило в силу 30 января 1996 года.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5t-osglfz7uj-ey4z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dalil.kg/document/17344</w:t>
      </w:r>
    </w:hyperlink>
  </w:p>
  <w:p>
    <w:pPr>
      <w:spacing w:after="0" w:before="40"/>
      <w:jc w:val="center"/>
    </w:pPr>
    <w:hyperlink w:history="1" r:id="rIds2pnwlrkqgccz9yc6dz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l5e6-og-2wipbz8a0rg" Type="http://schemas.openxmlformats.org/officeDocument/2006/relationships/hyperlink" Target="https://dalil.kg/document/1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5t-osglfz7uj-ey4zgm" Type="http://schemas.openxmlformats.org/officeDocument/2006/relationships/hyperlink" Target="https://dalil.kg/document/17344" TargetMode="External"/><Relationship Id="rIds2pnwlrkqgccz9yc6dzi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2026-09-28T04:50:52.741Z</dcterms:created>
  <dcterms:modified xsi:type="dcterms:W3CDTF">2026-09-28T04:50:52.741Z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