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qnxtp3rkkatljltb9bly">
        <w:r>
          <w:rPr>
            <w:rFonts w:ascii="Arial" w:cs="Arial" w:eastAsia="Arial" w:hAnsi="Arial"/>
            <w:color w:val="1D4ED8"/>
            <w:sz w:val="24"/>
            <w:szCs w:val="24"/>
            <w:u w:val="single"/>
          </w:rPr>
          <w:t xml:space="preserve">15 января 2003 года № 15</w:t>
        </w:r>
      </w:hyperlink>
      <w:r>
        <w:rPr>
          <w:rFonts w:ascii="Arial" w:cs="Arial" w:eastAsia="Arial" w:hAnsi="Arial"/>
          <w:sz w:val="24"/>
          <w:szCs w:val="24"/>
        </w:rPr>
        <w:t xml:space="preserve"> г.Лондонот 27-29 июня 1990 года                                ПОПРАВКА                к Монреальскому протоколу по веществам,                       разрушающим озоновый слой               (Источник: приложение II к докладу второго                           Совещания Сторон)      Статья 1: Поправки      А. Пункты преамбулы      1. Пункт 6 преамбулы </w:t>
      </w:r>
      <w:hyperlink w:history="1" r:id="rId7viyhlwj2ixf-ijrserl0">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"преисполненные решимости обеспечить охрану озонового  слоя  путемпринятия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 техническогои экономического характера,  а также учитывая потребности развивающихсястран, связанные с развитием".     2. Пункт 7 преамбулы </w:t>
      </w:r>
      <w:hyperlink w:history="1" r:id="rId6jjd3ehi1ok_srgy_lpu3">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"признавая необходимость  предусмотреть особое положение для удов-летворения потребностей развивающихся стран, включая предоставление до-полнительных  финансовых ресурсов и доступ к соответствующим технологи-ям, учитывая, что можно предсказать объем необходимых средств, и следу-ет  ожидать,  что  эти средства внесут значительные изменения в способ-ность мирового сообщества решить научно установленную проблему разруше-ния озона и вредных последствий такого разрушения".     3. Пункт 9 преамбулы </w:t>
      </w:r>
      <w:hyperlink w:history="1" r:id="rIdghd_hxabf92kvtiv6mlxg">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"учитывая важность содействия международному сотрудничеству в исс-ледованиях, разработках и передаче альтернативных технологий, касающих-ся регулирования и сокращения выбросов  веществ,  разрушающих  озоновыйслой,  принимая  во  внимание,  в частности,  потребности развивающихсястран".      В. Статья I: Определения      1. Пункт 4 статьи 1 </w:t>
      </w:r>
      <w:hyperlink w:history="1" r:id="rIdrdytl-wfjinugzclf1kbk">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"4. "Регулируемое  вещество" означает любое вещество,  указанное вприложении А или в приложении В к настоящему Протоколу, которое сущест-вует самостоятельно или в смеси. Это понятие включает изомеры таких ве-ществ,  за исключением веществ, указанных в соответствующем приложении,но  не  относится к любым таким веществам или смесям,  которые являютсясоставной частью готового продукта,  имеющего иную форму,  чем емкость,используемая для транспортировки или хранения упомянутого вещества".     2. Пункт 5 статьи 1 </w:t>
      </w:r>
      <w:hyperlink w:history="1" r:id="rIdecfti7cnxubekuquek0up">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"Производство"  означает количество произведенных регулируемыхвеществ за вычетом того количества веществ, которое уничтожается с при-менением технологии, подлежащей утверждению Сторонами, а также того ко-личества веществ, которое используется исключительно как сырье для про-изводства химических веществ. Количество веществ, подвергшихся рецирку-ляции и учету, не рассматривается как "производство".     3. В статью 1 </w:t>
      </w:r>
      <w:hyperlink w:history="1" r:id="rIdt80q-zobnqtwpdjkjv7n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добавляется следующий пункт:     "9. "Переходное вещество" означает вещество,  указанное в приложе-нии  С к настоящему Протоколу,  которое существует самостоятельно или всмеси.  Это относится к изомерам любого такого вещества, за исключениемвеществ,  перечисленных  в приложении С,  но не относится к любым такимвеществам или смесям,  которые являются составной частью готового  про-дукта,  имеющего иную форму,  чем емкость, используемая для транспорти-ровки или хранения упомянутых веществ".      С. Пункт 5 статьи 2      Пункт 5 статьи 2 </w:t>
      </w:r>
      <w:hyperlink w:history="1" r:id="rIdfdtuhvg8dqgneqgc9jyp8">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Любая Сторона может в рамках любого единичного или  несколькихпериодов  регулирования передать любой другой Стороне любую часть квотысвоего расчетного уровня производства,  указанного в статьях 2А  и  2Е,при  условии,  что  общий  суммарный расчетный уровень производства дляэтих Сторон по любой группе регулируемых веществ не выходит за  пределыограничения производства, которое установлено этими статьями для даннойгруппы веществ.  Каждая участвующая в этом процессе Сторона  уведомляетсекретариат о такой передаче, заявляя об условиях и периоде, на которыйдействует такая передача".      D. Пункт 6 статьи 2      В пункте  6  статьи  2  после первого упоминания "регулируемых ве-ществ" после запятой следует поместить слова:     "перечисленных в приложении А или приложении В".      Е. Пункт 8 а) статьи 2      В пункте 8 а) статьи 2 </w:t>
      </w:r>
      <w:hyperlink w:history="1" r:id="rIdr5jipbktqaullpyabhzdy">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"этой статьи"  следуетпоместить слова:     "и статей 2А-2Е".      F. Пункт 9 а) i) статьи 2      В пункте 9 а) i) статьи 2 </w:t>
      </w:r>
      <w:hyperlink w:history="1" r:id="rId_ehxy2mvj_z419d1kp9pl">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"приложение А" сле-дует добавить:     "и/или приложение В".      G. Пункт 9 а) ii) статьи 2      Из пункта 9 а) ii) статьи 2 </w:t>
      </w:r>
      <w:hyperlink w:history="1" r:id="rIddkpo9fao0-ye0mb8dttog">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исключаются следующие слова:     "по сравнению с уровнями 1986 года".      Пункт 9 с) статьи 2      В пункте 9 с) статьи 2 </w:t>
      </w:r>
      <w:hyperlink w:history="1" r:id="rId6zgjddthtxmeq5q9d09sm">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слова:     "представляющих не  менее  пятидесяти процентов общего потребленияСторонами регулируемых веществ"     заменить словами:     "представляющих большинство Сторон,  действующих в рамках пункта 1статьи  5,  присутствующих  и участвующих в голосовании,  и большинствоСторон,  не действующих в рамках этого пункта,  которые присутствуют  иучаствуют в голосовании".      Пункт 10 b) статьи 2      Изъять пункт 10 b) статьи 2 </w:t>
      </w:r>
      <w:hyperlink w:history="1" r:id="rIdhwf8hknnypylcqyj_8g5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Пункт 10 а) статьи 2 стано-вится пунктом 10 статьи 2      Пункт 11 статьи 2      После слов "настоящая статья" по всему тексту пункта 11  статьи  2Протокола следует добавить следующие слова:     "и статьи 2А-2Е".      Статья 2С: Другие полностью галоидированные ХФУ      Следующие пункты включаются в </w:t>
      </w:r>
      <w:hyperlink w:history="1" r:id="rIdsh1jadel2vupteodga_qi">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2С:     "Статья 2С: Другие полностью галоидированные ХФУ      Каждая Сторона обеспечивает,  чтобы за период двенадцати  месяцев,начинающийся 1 января 1993 года, и за каждый последующий период двенад-цати месяцев ежегодный расчетный уровень  потребления  ею  регулируемыхвеществ, включенных в группу I в приложении В, не превышал восьмидесятипроцентов от расчетного уровня ее потребления в 1989 году.  Каждая Сто-рона, производящая одно или несколько из этих веществ, за тот же периодобеспечивает,  чтобы ежегодный расчетный уровень ее  производства  этихвеществ не превышал восьмидесяти процентов от расчетного уровня ее про-изводства в 1989 году.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надесять процентов от расчетного уровня их производства в 1989 году.     Каждая Сторона обеспечивает,  чтобы за период двенадцати  месяцев,начинающийся 1 января 1997 года, и за каждый последующий период двенад-цати месяцев ежегодный расчетный уровень  потребления  ею  регулируемыхвеществ,  включенных в группу I в приложении В,  не превышал пятнадцатипроцентов от расчетного уровня ее потребления в 1989 году.  Каждая Сто-рона, производящая одно или несколько из этих веществ, за те же периодыобеспечивает,  чтобы ежегодный расчетный уровень ее  производства  этихвеществ не превышал пятнадцати процентов от расчетного уровня ее произ-водства в 1989 году. Однако для удовлетворения основных внутренних пот-ребностей  Сторон,  действующих  в рамках пункта 1 статьи 5,  расчетныйуровень их производства может превышать этот предел, но не более чем надесять процентов от расчетного уровня их производства в 1989 году.     Каждая Сторона обеспечивает,  чтобы за период двенадцати  месяцев,начинающийся 1 января 2000 года, и за каждый последующий период двенад-цати месяцев расчетный уровень  потребления  ею  регулируемых  веществ,включенных в группу I в приложении В, не превышал нулевого уровня. Каж-дая Сторона, производящая одно или несколько из этих веществ, за тот жепериод  обеспечивает,  чтобы расчетный уровень производства ею этих 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их производства может превышать этот  предел,  но  неболее  чем на пятнадцать процентов от расчетного уровня их производствав 1989 году".      L. Статья 2D: Тетрахлорметан      Следующие пункты будут добавлены в </w:t>
      </w:r>
      <w:hyperlink w:history="1" r:id="rIdd5jwmgv18eerge_eqwvah">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2D:     "Статья 2D: Тетрахлорметан      1. Каждая Сторона обеспечивает,  чтобы за период двенадцати  меся-цев,  начинающийся  1 января 1995 года,  и за каждый последующий периоддвенадцати месяцев ежегодный расчетный уровень потребления ею регулиру-емых веществ,  включенных в группу II в приложении В,  не превышал пят-надцати процентов от расчетного уровня ее потребления в 1989 году. Каж-дая Сторона,  производящая это вещество, за те же периоды обеспечивает,чтобы ежегодный расчетный уровень производства  ею  этого  вещества  непревышал  пятнадцати  процентов  от расчетного уровня ее производства в1989 году.  Однако для удовлетворения основных внутренних  потребностейСторон,  действующих  в рамках пункта 1 статьи S,  расчетный уровень ихпроизводства может превышать этот предел,  но не более  чем  на  десятьпроцентов от расчетного уровня их производства в 1989 году.     2. Каждая Сторона обеспечивает,  чтобы за период двенадцати  меся-цев,  начинающийся  1 января 2000 года,  и за каждый последующий периоддвенадцати месяцев расчетный уровень потребления ею  регулируемого  ве-щества,  включенного  в группу II в приложении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напятнадцать процентов от расчетного уровня их производства в 1989 году".      М. Статья 2Е: 1,1,1-трихлорэтан (метилхлороформ)      Следующие пункты будут добавлены в </w:t>
      </w:r>
      <w:hyperlink w:history="1" r:id="rIdq47d4jncv63fxusqayeix">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2Е:     "Статья 2Е: 1,1,1-трихлорэтан (метилхлороформ)      1. Каждая Сторона обеспечивает,  чтобы за период двенадцати  меся-цев,  начинающийся  1 января 1993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превышалрасчетного уровня ее потребления в 1989 году.  Каждая Сторона, произво-дящая это вещество, за те же периоды обеспечивает, чтобы ежегодный рас-четный уровень ее производства этого вещества  не  превышал  расчетногоуровня ее производства в 1989 году.  Однако для удовлетворения основныхвнутренних потребностей Сторон, действующих в рамках пункта 1 статьи 5,расчетный  уровень  их производства может превышать этот предел,  но неболее чем на десять процентов от расчетного уровня  их  производства  в1989 году.     2. Каждая Сторона обеспечивает,  чтобы за период двенадцати  меся-цев,  начинающийся  1 января 1995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превышалсемидесяти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ее производства этого вещества непревышал  семидесяти  процентов  от  расчетного уровня ее потребления в1989 году.  Однако для удовлетворения основных внутренних  потребностейСторон,  действующих  в рамках пункта 1 статьи 5,  расчетный уровень ихпроизводства может превышать этот предел,  но не более  чем  на  десятьпроцентов от расчетного уровня их производства в 1989 году.     3. Каждая Сторона обеспечивает,  чтобы за период двенадцати  меся-цев,  начинающийся  1 января 2000 года,  и за каждый последующий периоддвенадцати месяцев ежегодный расчетный уровень потребления ею регулиру-емого  вещества,  включенного в группу III в приложении В,  не превышалтридцати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производства ею этого вещества непревышал тридцати процентов от расчетного уровня ее производства в 1989году.  Однако для удовлетворения основных внутренних потребностей  Сто-рон,  действующих в рамках пункта 1 статьи 5, расчетный уровень их про-изводства может превышать этот предел,  но не более чем на десять  про-центов от расчетного уровня их производства в 1989 году.     4.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потребления ею  регулируемого  ве-щества,  включенного в группу III в приложении В,  не превышал нулевогоуровня.  Каждая Сторона,  производящая это веществ,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 напятнадцать процентов от расчетного уровня их производства в 1989 году.     5. В 1992 году Стороны рассмотрят  возможность  ускорения  графикасокращений по сравнению с тем, который предусмотрен настоящей статьей".      Статья 3: Расчет регулируемых уровней      В статье 3 </w:t>
      </w:r>
      <w:hyperlink w:history="1" r:id="rIdn2a2tuneljejb00tzn0h_">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"статей 2" добавить:     "2А-2Е".     После слов:  "приложение А" каждый раз, когда они встречаются встатье 3 Протокола добавить слова:     "или приложение В".      О. Статья 4: Регулирование торговли с государствами,                  не являющимися Сторонами      1. Пункты 1-5 статьи 4 Протокола заменяются следующими пунктами:     "1. Начиная  с  1 января 1990 года каждая Сторона запрещает импортрегулируемых веществ, перечисленных в приложении А, из любого государс-тва, которое не является Стороной настоящего Протокола.     1-бис. В течение одного года после даты вступления в силу  настоя-щего пункта каждая Сторона запрещает импорт регулируемых веществ, пере-численных в приложении В,  из любого государства,  которое не  являетсяСтороной настоящего Протокола,     2. Начиная с 1 января 1993 года каждая Сторона  запрещает  экспортлюбых регулируемых веществ, перечисленных в приложении А, в любое госу-дарство, не являющееся Стороной настоящего Протокола.     2-бис. По истечении одного года с даты вступления в силу настояще-го пункта каждая Сторона запрещает экспорт любых регулируемых  веществ,перечисленных в приложении В, в любое государство, не являющееся Сторо-ной настоящего Протокола.     3. К 1 января 1992 года Стороны в соответствии с положениями, пре-дусмотренными в статье 10 Конвенции,  подготовят в виде приложения спи-сок продуктов, содержащих регулируемые вещества, перечисленные в прило-жении А.  Стороны, не высказавшие возражения против этого приложения, всоответствии  с  указанными  процедурами  в  пределах одного года послевступления в силу этого приложения запрещают импорт таких продуктов  излюбого государства, не являющегося Стороной настоящего Протокола.     3-бис. В пределах трех лет с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 со-держащих регулируемые вещества,  включенные в приложении В. Стороны, невысказавшие возражений против этого приложения,  в соответствии с этимипроцедурами запрещают в пределах одного года с момента вступления в си-лу этого приложения импорт этих продуктов из любого государства, не яв-ляющегося Стороной настоящего Протокола.     4. К 1 января 1994 года Стороны определят практическую возможностьзапрещения  или  ограничения импорта продуктов,  производимых на основерегулируемых веществ,  перечисленных в приложении А,  но не  содержащихих, из государств, не являющихся Сторонами настоящего Протокола. Сторо-ны,  если они сочтут это возможным,  в соответствии с процедурами, ука-занными в статье 10 Конвенции,  подготавливают в виде приложения списоктаких веществ.  Не высказавшие против него возражения Стороны  в  соот-ветствии с указанными процедурами запрещают в пределах одного года пос-ле вступления в силу приложения импорт таких продуктов из любого  госу-дарства, не являющегося Стороной настоящего Протокола.     4-бис. В пределах пяти лет с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веществ,перечисленных в приложении В,  но не содержащих их,  из государств,  неявляющихся Сторонами настоящего Протокола. Стороны, если они сочтут этовозможным, в соответствии с процедурами, указанными в статье 10 Конвен-ции,  подготавливают в виде приложения список таких веществ.  Не выска-завшие  против него возражения Стороны в соответствии с указанными про-цедурами запрещают или ограничивают в пределах одного года после вступ-ления  в  силу приложения импорт таких продуктов из любого государства,не являющегося Стороной настоящего Протокола.     5. Каждая  Сторона  обязуется по возможности не поощрять экспорт влюбое государство,  не являющееся Стороной настоящего Протокола, техно-логии для производства и использования регулируемых веществ".     2. Пункт 8 статьи 4 Протокола заменяется следующим пунктом:     "8. Несмотря на положения настоящей статьи,  импорт, о котором го-ворится в пунктах 1,  1-бис,  3, 3-бис, 4 и 4-бис, и экспорт, о которомговорится в пунктах 2 и 2-бис, могут быть разрешены из любого государс-тва,  не являющегося Стороной настоящего Протокола,  или в любое  такоегосударство, если Совещание Сторон определяет, что это государство пол-ностью выполняет положения статьи 2, статей 2А-2Е и настоящей статьи, иесли оно представило данные об этом, как это установлено в статье 7".     3. В статью 4 Протокола включается следующий новый пункт в качест-ве пункта 9:     "9. Для целей настоящей статьи термин "государство,  не являющеесяСтороной настоящего Протокола",  подразумевает в отношении любого конк-ретного регулируемого вещества государство или региональную организациюпо экономической интеграции, которые не согласились быть связанными ме-рами регулирования, действующими в отношении этого вещества".      Р. Статья 5: Особое положение развивающихся стран      Статья 5 Протокола заменяется следующим текстом:     1. Любая Сторона,  являющаяся развивающейся страной, чей ежегодныйрасчетный уровень потребления регулируемых веществ,  указанных в прило-жении А,  составляет менее 0,3 кг на душу населения на дату  вступлениядля  нее  в  силу  Протокола или в любой последующий период до 1 января1999 года, имеет право в целях удовлетворения своих основных внутреннихпотребностей отсрочить на десять лет соблюдение мер регулирования, пре-дусмотренных в статьях 2А-2Е.     2. Однако  любая Сторона,  действующая в рамках пункта 1 настоящейстатьи, не должна превышать ни ежегодного расчетного уровня потреблениярегулируемых  веществ,  указанных в приложении А,  сверх 0,3 кг на душунаселения, ни ежегодного расчетного уровня потребления регулируемых ве-ществ, указанных в приложении В, сверх 0,2 кг на душу населения.     3. В случае применения мер регулирования в соответствии со  стать-ями  2А-2Е.  любая  Сторона,  действующая  в  рамках пункта 1 настоящейстатьи, имеет право использовать:     а) для регулируемых веществ,  указанных в приложении А,  либо рас-четный среднегодовой уровень своего потребления за  период  с  1995  по1997 год включительно,  либо расчетный уровень потребления в объеме 0,3кг на душу населения в зависимости  от  того,  какой  уровень  являетсяменьшим,  в  качестве основы для определения критерия соблюдения ею меррегулирования;     b) для регулируемых веществ,  указанных в приложении В,  либо рас-четный среднегодовой уровень своего потребления за  период  с  1998  по2000 год включительно,  либо расчетный уровень потребления в объеме 0,2кг на душу населения в зависимости  от  того,  какой  уровень  являетсяменьшим,  в  качестве основы для определения критерия соблюдения ею меррегулирования.     4. Если Сторона, действующая в рамках пункта 1 настоящей статьи, влюбой момент до вступления для нее в силу обязательств по мерам регули-рования,  предусмотренных  в статьях 2А-2Е,  обнаруживает невозможностьполучения достаточного количества регулируемых веществ,  она может уве-домить об этом секретариат.  Секретариат незамедлительно направляет эк-земпляр такого уведомления Сторонам,  которые рассматривают этот вопросна следующем Совещании и принимают решение о надлежащих мерах.     5. Обеспечение способности выполнять обязательства  Сторон,  дейс-твующих в рамках пункта 1 настоящей статьи, по соблюдению мер регулиро-вания,  предусмотренных статьями 2А-2Е, и их осуществление этими Сторо-нами будет зависеть от эффективного осуществления финансового сотрудни-чества,  предусмотренного статьей 10,  и передачи технологии,  как  этопредусмотрено 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 неменее, считает себя не в силах выполнить любое или все обязательства померам регулирования,  предусмотренным статьями 2А-2Е, по причине недос-таточно строгого выполнения статьи 10 и 10А. Секретариат незамедлитель-но направляет экземпляр этого уведомления Сторонам,  которые рассматри-вают  этот вопрос на следующем Совещании с должным учетом пункта 5 нас-тоящей статьи и принимают решение о 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 уведом-ляющей Стороне по решению Совещания Сторон  не  применяются  процедуры,связанные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 эф-фективное осуществление финансового сотрудничества и передачу им техно-логии,  и проведет любые пересмотры, которые могут быть сочтены необхо-димыми в отношении графика мер регулирования,  применимых к этим Сторо-нам.     9. Решения Сторон,  о которых говорится в пунктах 4, 6 и 7 настоя-щей  статьи,  принимаются  в соответствии с той же процедурой,  котораяраспространяется на принятие решений в рамках статьи 10.      Q. Статья 6: Оценка и обзор мер регулирования      В статье 6 Протокола после слова "статье 2" добавить фразу:     "статьях 2А-2Е, а также положения с производством, импортом и экс-портом переходных веществ группы I приложения С".      R. Статья 7: Представление данных      Статья 7 Протокола заменяется следующим текстом:     1. Каждая Сторона представляет секретариату в течение трех месяцевпосле того, как она станет Стороной, статистические данные о своем про-изводстве,  импорте и экспорте каждого из регулируемых веществ приложе-ния А за 1986 год или наиболее надежные оценочные данные такого  харак-тера, если фактические данные отсутствуют.     2. Каждая Сторона представляет секретариату статистические  данныео  своем  производстве,  импорте и экспорте каждого из регулируемых ве-ществ приложения В, а также переходных веществ группы I приложения С за1989 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 касающихсявеществ приложения В.     3. Каждая  Сторона представляет секретариату статистические данныео своем ежегодном производстве (как это определено в пункте 5 статьи 1)и отдельно:     - о количестве веществ, используемых для производства промышленно-го сырья;     - о количестве веществ,  уничтоженных с  применением  утвержденныхСторонами технологий;     - об импорте и экспорте Сторон и не сторон, соответственно, каждо-го из регулируемых веществ группы I приложения С за год,  в котором по-ложения, касающиеся этих веществ, вступили в силу для данной Стороны, иза каждый последующий год. Данные направляются не позднее чем через де-вять месяцев после окончания года, к которому относятся такие данные.     4. В отношении Сторон,  действующих в рамках положения пункта 8 а)статьи 2,  требования относительно представления статистических  данныхоб импорте и экспорте, содержащиеся в пунктах 1, 2 и 3 этой статьи, вы-полняются в том случае,  если соответствующая региональная  организацияпо  экономической  интеграции представляет данные об импорте и экспортемежду этой организацией и государствами,  которые не  являются  членамиэтой организации".       S. Статья 9: Исследования, разработки, информирование                   общественности и обмен информацией      Пункт 1 а) статьи 9 Протокола заменяется следующим текстом:     "а) наиболее совершенной технологии для улучшения безопасного хра-нения, утилизации, рециркуляции или уничтожения регулируемых и переход-ных веществ или сокращения иным образом их выбросов;".      Т. Статья 10: Механизм финансирования      Статья 10 Протокола заменяется следующими пунктами:     "Статья 10: Механизм финансирования      1. Стороны  Монреальского протокола учреждают механизм для обеспе-чения финансового и технического сотрудничества,  включая передачу тех-нологий Сторонам, действующим в рамках пункта 1 статьи 5 этого Протоко-ла,  в целях содействия соблюдению ими мер регулирования, предусмотрен-ных в статьях 2А-2Е Протокола.  Механизм, взносы в который вносятся до-полнительно к другим финансовым средствам,  направляемый Сторонам дейс-твующим в рамках этого пункта, покрывает все согласованные дополнитель-ные расходы этих Сторон,  с тем чтобы сделать возможным выполнение  меррегулирования, предусмотренных в Протоколе. Примерный перечень дополни-тельных расходов определяется Совещанием Сторон.     2. Механизм,  созданный в соответствии с пунктом 1,  включает Мно-госторонний фонд. Он также может охватывать другие формы многосторонне-го, регионального и двустороннего сотрудничества.     3. Многосторонний фонд:     а) на  основе предоставления соответственно субсидий или льгот и всоответствии с установленными Сторонами критериями  покрывает  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статьи5,  для определения их потребностей в области  сотрудничества  за  счетпроведения исследований по странам и другого технического сотрудничест-ва;     ii) содействия техническому сотрудничеству для удовлетворения этихвыявленных потребностей;     iii) распространения,  как предусмотрено в статье 9,  информации исоответствующих материалов и проведения семинаров, подготовительных за-нятий,  а  также других соответствующих мероприятий для оказания помощиСторонам, являющимся развивающимися странами; и     iv) содействия другому многостороннему, региональному и двусторон-нему сотрудничеству с такими Сторонами и его контролирования;     c) осуществляет финансирование расходов по секретариатскому обслу-живанию Многостороннего фонда и других связанных с ним  вспомогательныхрасходов.     4. Многосторонний фонд функционирует под руководством Сторон,  ко-торые определяют общие направления его политики.     5. Стороны учреждают Исполнительный комитет для разработки и  осу-ществления конкретной оперативной политики, руководящих принципов и ад-министративных мер, включая распоряжение средствами, для достижения це-лей Многостороннего фонда. Исполнительный комитет выполняет свои задачии функции в соответствии со своим кругом ведения, который будет одобренСторонами,  в  сотрудничестве и при содействии Международного банка ре-конструкции и развития (Всемирного банка),  Программы Организации  Объ-единенных  Наций  по  окружающей среде,  Программы развития ОрганизацииОбъединенных Наций или других соответствующих учреждений в  зависимостиот их областей компетенции. Члены Исполнительного комитета, которые из-бираются на основе сбалансированного представительства Сторон, действу-ющих и не действующих в рамках пункта 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 реше-ния Сторон, региональное сотрудничество, до определенной процентной до-ли и в соответствии с любыми критериями,  которые будут определены Сто-ронами,  может рассматриваться как взнос в Многосторонний фонд,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 согласо-ванию со Стороной, являющейся бенефициарием.     9. Решения  Сторон в связи с настоящей статьей принимаются по воз-можности консенсусом. Если были приложены все усилия, но договоренностидостичь не удалось,  решения принимаются большинством в две трети голо-сов Сторон, присутствующих и участвующих в голосовании.     10. Механизм финансирования,  определяемый в настоящей статье,  неущемляет каких-либо иных договоренностей, которые могут быть разработа-ны для решения других природоохранных проблем".      U. Статья 10А: Передача технологии      Добавить в Протокол следующую статью в качестве статьи 10А:     "Статья 10А: Передача, технологии      Каждая Сторона принимает все возможные меры,  совместимые с  прог-раммами, поддерживаемыми механизмом финансирования  для обеспечения то-го, чтобы:     а) наилучшие имеющиеся в наличии экологически безопасные замените-ли и связанные с ними технологии незамедлительно передавались Сторонам,действующим в рамках пункта 1 статьи 5; и     b) передачи технологии,  упомянутые в подпункте а), осуществлялисьпри справедливых и наиболее благоприятных условиях".      V. Статья 11: Совещания Сторон      Пункт 4 g) статьи 11 Монреальского протокола заменяется  следующимтекстом:     "g) рассматривают в соответствии со статьей 6 меры регулирования иположение с переходными веществами".      W. Статья 17: Стороны, присоединившиеся к Протоколу после его                   вступления в силу      В статье 17 после слов "а также по" добавить слова:     "статьям 2А-2Е и".      X. Статья 19: Выход      Статья 19 Протокола заменяется следующим пунктом:     "Любая Сторона может выйти  из  настоящего  Протокола,  представивписьменное уведомление Депозитарию в любой момент по прошествии четырехлет после принятия обязательств,  указанных в пункте 1 статьи 2А. Любойтакой выход вступает в силу по истечении одного года после даты получе-ния Депозитарием уведомления о выходе или на  такую  последующую  дату,которая может быть указана в уведомлении о выходе".      Y. Приложения      К Протоколу прилагаются следующие приложения:                                                             Приложение В                          Регулируемые вещества -----------------------------------------------------------------------|   Группа    |       Вещество         | Озоноразрушающая способность ||---------------------------------------------------------------------||                            Группа I                                 ||---------------------------------------------------------------------||CF3Cl        |(ХФУ-13)                |              1,0             ||C2FCl5       |(ХФУ-111)               |              1,0             ||C2F2Cl4      |(ХФУ-112)               |              1,0             ||C3FCl7       |(ХФУ-211)               |              1,0             ||C3F2Cl6      |(ХФУ-212)               |              1,0             ||C3F3Cl5      |(ХФУ-213)               |              1,0             ||C3F4Cl4      |(ХФУ-214)               |              1,0             ||C3F5Cl3      |(ХФУ-215)               |              1,0             ||C3F6Cl2      |(ХФУ-216)               |              1,0             ||C3F7Cl       |(ХФУ-217)               |              1,0             ||---------------------------------------------------------------------||                             Группа II                               ||---------------------------------------------------------------------||CCI4         |тетрахлорметан          |              1,1             ||-------------|------------------------|------------------------------||Группа III   |                        |                              ||-------------|------------------------|------------------------------||С2Н3Cl13(*)  |1,1,1-тетрахлорэтан     |              0,1             ||             |      (метилхлороформ)  |                              |-----------------------------------------------------------------------      (*) Настоящая формула не относится к 1,1,2-трихлорэтану.                                                             Приложение C                           Переходные вещества -----------------------------------------------------------------------|          Группа                  |              Вещество            ||---------------------------------------------------------------------||                           Группа I                                  ||---------------------------------------------------------------------||CHFCl2                            |(ГХФУ-21)                         ||CHF2Cl                            |(ГХФУ-22)                         ||CH2FCl                            |(ГХФУ-31)                         ||C2HFCl4                           |(ГХФУ-121)                        ||C2HF2Cl3                          |(ГХФУ-122)                        ||C2HF3Cl2                          |(ГХФУ-123)                        ||C2HF4Cl                           |(ГХФУ-124)                        ||C2H2FCl3                          |(ГХФУ-131)                        ||C2H2F3Cl2                         |(ГХФУ-132)                        ||C2H2F3Cl                          |(ГХФУ-133)                        ||C2H3FCl2                          |(ГХФУ-141)                        ||C2H3F2Cl                          |(ГХФУ-142)                        ||C2H4FCl                           |(ГХФУ-151)                        ||C3HFCl6                           |(ГХФУ-221)                        ||C3HF2Cl5                          |(ГХФУ-222)                        ||C3HF3Cl4                          |(ГХФУ-222)                        ||C3HF4Cl3                          |(ГХФУ-223)                        ||C3HF5Cl2                          |(ГХФУ-225)                        ||C3HF6Cl                           |(ГХФУ-226)                        ||C3H2FCl5                          |(ГХФУ-231)                        ||C3H2F2Cl4                         |(ГХФУ-232)                        ||C3H2F3Cl3                         |(ГХФУ-233)                        ||C3H2F4Cl2                         |(ГХФУ-234)                        ||C3H2F5Cl                          |(ГХФУ-235)                        ||C3H3FCl4                          |(ГХФУ-241)                        ||C3H3F2Cl3                         |(ГХФУ-242)                        ||C3H3F3Cl2                         |(ГХФУ-243)                        ||C3H3F4Cl                          |(ГХФУ-244)                        ||C3H4FCl3                          |(ГХФУ-251)                        ||C3H4F2Cl2                         |(ГХФУ-252)                        ||C3H4F3Cl                          |(ГХФУ-253)                        ||C3H5Cl2                           |(ГХФУ-261)                        ||C3H5F2Cl                          |(ГХФУ-262)                        ||C3H6FCl                           |(ГХФУ-271)                        |-----------------------------------------------------------------------      Статья 2: Вступление в силу      1. Настоящая поправка вступает в силу 1 января 1992 года при усло-вии сдачи на хранение не менее двадцати документов о ратификации,  при-нятии или одобрении поправок государствами или региональными  организа-циями по экономической интеграции,  являющимися Сторонами Монреальскогопротокола по веществам,  разрушающим озоновый слой.  Если к  этой  датеуказанное условие не будет соблюдено, поправки вступают в силу на девя-ностый день с момента выполнения этого условия.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 хранениегосударствами-членами такой организации.     3. После вступления в силу настоящей поправки, как предусмотрено впункте 1, она вступает в силу для любой другой Стороны Протокола на де-вяностый  день с момента сдачи на хранение своего документа о ратифика-ции, принятии, одобрении или присоединении.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8gha6yz9fi-lxynvliu">
      <w:r>
        <w:rPr>
          <w:rFonts w:ascii="Arial" w:cs="Arial" w:eastAsia="Arial" w:hAnsi="Arial"/>
          <w:color w:val="132D3F"/>
          <w:sz w:val="16"/>
          <w:szCs w:val="16"/>
          <w:u w:val="single"/>
        </w:rPr>
        <w:t xml:space="preserve">dalil.kg/document/17571</w:t>
      </w:r>
    </w:hyperlink>
  </w:p>
  <w:p>
    <w:pPr>
      <w:spacing w:after="0" w:before="40"/>
      <w:jc w:val="center"/>
    </w:pPr>
    <w:hyperlink w:history="1" r:id="rIdo-f2ozbi2jj07n_rw-c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xtp3rkkatljltb9bly" Type="http://schemas.openxmlformats.org/officeDocument/2006/relationships/hyperlink" Target="https://dalil.kg/document/1139" TargetMode="External"/><Relationship Id="rId7viyhlwj2ixf-ijrserl0" Type="http://schemas.openxmlformats.org/officeDocument/2006/relationships/hyperlink" Target="https://dalil.kg/document/17570" TargetMode="External"/><Relationship Id="rId6jjd3ehi1ok_srgy_lpu3" Type="http://schemas.openxmlformats.org/officeDocument/2006/relationships/hyperlink" Target="https://dalil.kg/document/17570" TargetMode="External"/><Relationship Id="rIdghd_hxabf92kvtiv6mlxg" Type="http://schemas.openxmlformats.org/officeDocument/2006/relationships/hyperlink" Target="https://dalil.kg/document/17570" TargetMode="External"/><Relationship Id="rIdrdytl-wfjinugzclf1kbk" Type="http://schemas.openxmlformats.org/officeDocument/2006/relationships/hyperlink" Target="https://dalil.kg/document/17570" TargetMode="External"/><Relationship Id="rIdecfti7cnxubekuquek0up" Type="http://schemas.openxmlformats.org/officeDocument/2006/relationships/hyperlink" Target="https://dalil.kg/document/17570" TargetMode="External"/><Relationship Id="rIdt80q-zobnqtwpdjkjv7ne" Type="http://schemas.openxmlformats.org/officeDocument/2006/relationships/hyperlink" Target="https://dalil.kg/document/17570" TargetMode="External"/><Relationship Id="rIdfdtuhvg8dqgneqgc9jyp8" Type="http://schemas.openxmlformats.org/officeDocument/2006/relationships/hyperlink" Target="https://dalil.kg/document/17570" TargetMode="External"/><Relationship Id="rIdr5jipbktqaullpyabhzdy" Type="http://schemas.openxmlformats.org/officeDocument/2006/relationships/hyperlink" Target="https://dalil.kg/document/17570" TargetMode="External"/><Relationship Id="rId_ehxy2mvj_z419d1kp9pl" Type="http://schemas.openxmlformats.org/officeDocument/2006/relationships/hyperlink" Target="https://dalil.kg/document/17570" TargetMode="External"/><Relationship Id="rIddkpo9fao0-ye0mb8dttog" Type="http://schemas.openxmlformats.org/officeDocument/2006/relationships/hyperlink" Target="https://dalil.kg/document/17570" TargetMode="External"/><Relationship Id="rId6zgjddthtxmeq5q9d09sm" Type="http://schemas.openxmlformats.org/officeDocument/2006/relationships/hyperlink" Target="https://dalil.kg/document/17570" TargetMode="External"/><Relationship Id="rIdhwf8hknnypylcqyj_8g5c" Type="http://schemas.openxmlformats.org/officeDocument/2006/relationships/hyperlink" Target="https://dalil.kg/document/17570" TargetMode="External"/><Relationship Id="rIdsh1jadel2vupteodga_qi" Type="http://schemas.openxmlformats.org/officeDocument/2006/relationships/hyperlink" Target="https://dalil.kg/document/17570" TargetMode="External"/><Relationship Id="rIdd5jwmgv18eerge_eqwvah" Type="http://schemas.openxmlformats.org/officeDocument/2006/relationships/hyperlink" Target="https://dalil.kg/document/17570" TargetMode="External"/><Relationship Id="rIdq47d4jncv63fxusqayeix" Type="http://schemas.openxmlformats.org/officeDocument/2006/relationships/hyperlink" Target="https://dalil.kg/document/17570" TargetMode="External"/><Relationship Id="rIdn2a2tuneljejb00tzn0h_" Type="http://schemas.openxmlformats.org/officeDocument/2006/relationships/hyperlink" Target="https://dalil.kg/document/1757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8gha6yz9fi-lxynvliu" Type="http://schemas.openxmlformats.org/officeDocument/2006/relationships/hyperlink" Target="https://dalil.kg/document/17571" TargetMode="External"/><Relationship Id="rIdo-f2ozbi2jj07n_rw-c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2026-09-23T18:06:44.015Z</dcterms:created>
  <dcterms:modified xsi:type="dcterms:W3CDTF">2026-09-23T18:06:44.015Z</dcterms:modified>
</cp:coreProperties>
</file>

<file path=docProps/custom.xml><?xml version="1.0" encoding="utf-8"?>
<Properties xmlns="http://schemas.openxmlformats.org/officeDocument/2006/custom-properties" xmlns:vt="http://schemas.openxmlformats.org/officeDocument/2006/docPropsVTypes"/>
</file>