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sotzwjrnqffcjpo9fwrr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116 г.Парижот 17 октября 2003 года                         МЕЖДУНАРОДНАЯ КОНВЕНЦИЯ            об охране нематериального культурного наследия      I.    Общие положения     II.   Органы Конвенции     III.  Охрана нематериального культурного наследия на национальном           уровне     IV.   Охрана нематериального культурного наследия на международном           уровне     V.    Международное сотрудничество и помощь     VI.   Фонд нематериального культурного наследия     VII.  Доклады     VIII. Переходные положения     IX.   Заключительные положения      Генеральная конференция Организации Объединенных Наций по вопросамобразования, науки и культуры, именуемая ниже ЮНЕСКО, собравшаяся в Па-риже с 29 сентября по 17 октября 2003 г.  на свою тридцать вторую  сес-сию,     ссылаясь на существующие международно-правовые акты о правах чело-века,  в частности на Всеобщую декларацию прав человека 1948 г., Между-народный пакт об экономических,  социальных и культурных правах 1966 г,и Международный пакт о гражданских и политических правах 1966 г.,     принимая во внимание важное значение  нематериального  культурногонаследия  в качестве горнила культурного разнообразия и гарантии устой-чивого развития,  что подчеркивается в Рекомендации ЮНЕСКО о сохранениифольклора 1989 г.,  во Всеобщей декларации ЮНЕСКО о культурном разнооб-разии 2001 г.  и в Стамбульской декларации 2002 г., принятой на третьейвстрече за круглым столом министров культуры,     учитывая тесную взаимозависимость между нематериальным  культурнымнаследием и материальным культурным и природным наследием,     признавая, что процессы глобализации и социальных  преобразований,создавая условия для возобновления диалога между сообществами, вместе стем являются,  как и явление нетерпимости, источниками серьезной угрозыдеградации, исчезновения и разрушения, которая нависла над нематериаль-ным культурным наследием, в частности в результате нехватки средств дляохраны такого наследия,     сознавая всеобщее  стремление  обеспечить  охрану  нематериальногокультурного  наследия  человечества и испытываемую в связи с этим общуюозабоченность,     признавая, что сообщества, в частности коренные сообщества, группыи,  в некоторых случаях,  отдельные лица играют важную роль в создании,охране,  сохранении и воссоздании нематериального культурного наследия,обогащая тем самым культурное разнообразие и способствуя творчеству че-ловека,     отмечая большое значение деятельности ЮНЕСКО по разработке  норма-тивных актов,  направленных на защиту культурного наследия, в частностиКонвенции об охране всемирного культурного и природного  наследия  1972г.,     отмечая далее,  что в настоящее время не существует никакого имею-щего обязательную силу многостороннего правового акта,  касающегося ох-раны нематериального культурного наследия,     считая, что  действующие международные соглашения,  рекомендации ирезолюции о культурном и природном наследии необходимо обогатить и  эф-фективно  дополнить  новыми  положениями,  касающимися  нематериальногокультурного наследия,     учитывая необходимость  более глубокого осознания,  особенно средимолодых поколений,  важности нематериального культурного наследия и егоохраны,     считая, что в духе сотрудничества и взаимопомощи международное со-общество  вместе с государствами-участниками настоящей Конвенции должносодействовать охране такого наследия,     напоминая о  программах ЮНЕСКО по нематериальному культурному нас-ледию,  в частности провозглашении шедевров устного  и  нематериальногонаследия человечества,     принимая во внимание неоценимую роль  нематериального  культурногонаследия в качестве фактора, способствующего сближению, обменам и взаи-мопониманию между людьми,     принимает семнадцатого октября 2003 года настоящую Конвенцию.                           I. Общие положения      Статья 1 - Цели Конвенции      Целями настоящей Конвенции являются:     (a) охрана нематериального культурного наследия;     (b) уважение  нематериального культурного наследия соответствующихсообществ, групп и отдельных лиц;     (c) привлечение внимания на местном,  национальном и международномуровнях к важности нематериального культурного наследия и его взаимногопризнания;     (d) международное сотрудничество и помощь.      Статья 2 - Определения      Для целей настоящей Конвенции:     1. "Нематериальное  культурное  наследие"  означает обычаи,  формыпредставления и выражения,  знания и навыки, - а также связанные с нимиинструменты,  предметы, артефакты и культурные пространства, - признан-ные сообществами,  группами и, в некоторых случаях, отдельными лицами вкачестве части их культурного наследия.     Такое нематериальное культурное наследие,  передаваемое от поколе-ния к поколению, постоянно воссоздается сообществами и группами в зави-симости от окружающей их среды, их взаимодействия с природой и их исто-рии  и формирует у них чувство самобытности и преемственности,  содейс-твуя тем самым уважению культурного разнообразия и творчеству человека.Для целей настоящей Конвенции принимается во внимание только то немате-риальное культурное наследие,  которое согласуется с существующими меж-дународно-правовыми  актами по правам человека и требованиями взаимногоуважения между сообществами,  группами и отдельными лицами, а также ус-тойчивого развития.     2. "Нематериальное культурное  наследие",  как  оно  определено  впункте 1 выше, проявляется, в частности, в следующих областях:     (a) устные традиции и формы выражения, включая язык в качестве но-сителя нематериального культурного наследия;     (b) исполнительские искусства;     (c) обычаи, обряды, празднества;     (d) знания и обычаи, относящиеся к природе и вселенной;     (e) знания и навыки, связанные с традиционными ремеслами.     3. "Охрана" означает принятие мер с целью обеспечения жизнеспособ-ности нематериального культурного наследия,  включая его идентификацию,документирование,  исследование, сохранение, защиту, популяризацию, по-вышение его роли, его передачу, главным образом с помощью формального инеформального образования, а также возрождение различных аспектов тако-го наследия.     4. "Государства-участники" означают государства,  которые  связанынастоящей Конвенцией и в отношении которых Конвенция вступила в силу.     5. Настоящая Конвенция применяется mutatis mutandis к территориям,указанным  в статье 33,  которые становятся ее участниками на условиях,определяемых  этой  статьей.  В  этом  отношении  выражение  "государс-тва-участники" относится также к этим территориям.      Статья 3 - Связь с другими международно-правовыми актами      Ничто в настоящей Конвенции не может быть истолковано как:     (a) изменяющее статус или уменьшающее  уровень  охраны  ценностей,которые признаны всемирным наследием в рамках Конвенции об охране куль-турного и природного наследия 1972 г. и с которыми непосредственно свя-зан тот или иной элемент нематериального культурного наследия; или     (b) затрагивающее права и обязательства государств-участников, вы-текающие из любых международно-правовых актов,  относящихся к правам наинтеллектуальную собственность или к использованию биологических и эко-логических ресурсов, участниками которых они являются.                          II. Органы Конвенции      Статья 4 - Генеральная ассамблея государств-участников      1. Настоящим учреждается Генеральная ассамблея государств-участни-ков,  именуемая ниже "Генеральная ассамблея". Генеральная ассамблея яв-ляется полновластным органом настоящей Конвенции.     2. Генеральная ассамблея собирается на очередные сессии один раз вдва года.  Она может собираться на внеочередные сессии,  если принимаеттакое решение,  или по просьбе Межправительственного комитета по охраненематериального  культурного  наследия,  или  по просьбе не менее однойтрети государств-участников.     3. Генеральная ассамблея принимает свои Правила процедуры.      Статья 5 - Межправительственный комитет по охране нематериального                культурного наследия      1. Настоящим при ЮНЕСКО учреждается  Межправительственный  комитетпо  охране нематериального культурного наследия,  именуемый ниже "Коми-тет".  Комитет состоит из представителей 18 государств-участников, изб-ранных  государствами-участниками,  собравшимися на Генеральную ассамб-лею,  после вступления настоящей Конвенции в  силу  в  соответствии  состатьей 34.     2. Число государств - членов этого Комитета будет увеличено до 24,когда число государств-участников Конвенции достигнет 50.      Статья 6 - Выборы и срок полномочий государств - членов Комитета      1. Выборы  государств - членов Комитета осуществляются в соответс-твии с принципами справедливого географического распределения  и  спра-ведливой ротации.     2. Государства - члены Комитета избираются на срок в  четыре  годагосударствами-участниками  Конвенции,  собравшимися  на Генеральную ас-самблею.     3. Однако  срок  полномочий половины государств - членов Комитета,избранных в ходе первых выборов,  составляет два года.  Эти государстваопределяются по жребию в ходе первых выборов.     4. Каждые два года Генеральная ассамблея обновляет наполовину сос-тав государств - членов Комитета.     5. Она также избирает такое число государств  -  членов  Комитета,которое необходимо для заполнения вакантных мест.     6. Государство - член Комитета не может быть избрано на два  срокаполномочий подряд.     7. Государства - члены Комитета подбирают в качестве своих  предс-тавителей  лиц,  обладающих компетенцией в различных областях нематери-ального культурного наследия.      Статья 7 - Функции Комитета      Без ущерба другим его обязанностям,  установленным настоящей  Кон-венцией, функции Комитета заключаются в следующем:     (a) содействие достижению целей Конвенции, поощрение и обеспечениемониторинга ее выполнения;     (b) предоставление консультаций относительно передовой практики  иподготовка  рекомендаций  о мерах по охране нематериального культурногонаследия;     (c) подготовка  и представление на утверждение Генеральной ассамб-леи проекта плана использования средств Фонда в соответствии со статьей25;     (d) изыскание путей увеличения ресурсов Фонда и  принятие  с  этойцелью необходимых мер в соответствии со статьей 25;     (e) подготовка и представление на утверждение Генеральной  ассамб-леи оперативного руководства по выполнению Конвенции;     (f) рассмотрение в  соответствии  со  статьей  29  докладов  госу-дарств-участников и их резюмирование для Генеральной ассамблеи;     (g) рассмотрение заявок, представляемых государствами-участниками,и  принятие решений в соответствии с разработанными Комитетом и утверж-денными Генеральной ассамблеей объективными критериями, касающимися:     (i) включения в списки и отбора предложений,  упомянутых в статьях16, 17 и 18;     (ii) предоставления международной помощи в соответствии со статьей22.      Статья 8 - Методы работы Комитета      1. Комитет подотчетен Генеральной ассамблее.  Он  представляет  ейдоклады о всей своей деятельности и принимаемых им решениях.     2. Комитет принимает свои Правила процедуры большинством,  состав-ляющим две трети его членов.     3. Комитет может создавать на временной  основе  специальные  кон-сультативные органы, которые он сочтет необходимыми для выполнения сто-ящей перед ним задачи.     4. Комитет  может приглашать на свои заседания любые государствен-ные или частные органы,  а также любых частных лиц, обладающих признан-ной  компетенцией в различных областях нематериального культурного нас-ледия, с целью проведения с ними консультаций по конкретным вопросам.      Статья 9 - Аккредитация консультативных организаций      1. Комитет вносит на рассмотрение Генеральной ассамблеи  предложе-ния  об аккредитации неправительственных организаций,  обладающих приз-нанной компетенцией в области нематериального культурного наследия.  Поотношению к Комитету эти организации выполняют консультативные функции.     2. Комитет вносит  также  на  рассмотрение  Генеральной  ассамблеипредложения о критериях и условиях указанной аккредитации.      Статья 10 - Секретариат      1. Секретариат ЮНЕСКО оказывает помощь Комитету.     2. Секретариат подготавливает документацию для Генеральной ассамб-леи и Комитета, а также проекты повестки дня их заседаний и обеспечива-ет выполнение принимаемых ими решений.                 III. Охрана нематериального культурного                    наследия на национальном уровне      Статья 11 - Роль государств-участников      Каждому государству-участнику надлежит:     (a) принимать необходимые меры для обеспечения охраны нематериаль-ного культурного наследия, имеющегося на его территории;     (b) в рамках мер по охране, указанных в пункте 3 статьи 2, иденти-фицировать  и определять различные элементы нематериального культурногонаследия,  имеющегося на его территории, при участии сообществ, групп исоответствующих неправительственных организаций.      Статья 12 - Перечни      1. Для  обеспечения  идентификации с целью охраны каждое государс-тво-участник с учетом сложившейся ситуации составляет один или несколь-ко  перечней  нематериального  культурного наследия,  имеющегося на еготерритории. Такие перечни подлежат регулярному обновлению.     2. Представляя на периодической основе свой доклад Комитету,  сог-ласно статье 29,  каждое государство-участник сообщает  соответствующуюинформацию по этим перечням.      Статья 13 - Другие меры по охране      Для обеспечения охраны,  развития и повышения роли нематериальногокультурного наследия,  имеющегося на его территории,  каждое  государс-тво-участник прилагает усилия с целью:     (a) принятия общей политики,  направленной на повышение роли нема-териального  культурного  наследия  в обществе и включение охраны этогонаследия в программы планирования;     (b) определения  или  создания  одного или нескольких компетентныхорганов по охране нематериального культурного наследия,  имеющегося  наего территории;     (c) содействия научным,  техническим и искусствоведческим исследо-ваниям, а также разработке научно-исследовательских методологий с цельюэффективной охраны нематериального культурного  наследия,  в  частностинематериального культурного наследия, находящегося в опасности;     (d) принятия соответствующих юридических, технических, администра-тивных и финансовых мер, направленных на:     (i) содействие созданию или укреплению  учреждений  по  подготовкекадров в области управления нематериальным культурным наследием, а так-же передаче этого наследия через форумы и пространства, предназначенныедля его представления и выражения;     (ii) обеспечение доступа к  нематериальному  культурному  наследиюпри  соблюдении  принятой практики,  определяющей порядок доступа к темили иным аспектам такого наследия;     (iii) создание учреждений, занимающихся документацией по нематери-альному культурному наследию, и облегчение доступа к ним.      Статья 14 - Образование, повышение осведомленности общественности                 и укрепление потенциала      Каждое государство-участник,  используя все имеющиеся в его распо-ряжении средства, прилагает усилия, направленные на:     (a) обеспечение признания,  уважения и повышения роли нематериаль-ного культурного наследия в обществе, в частности посредством:     (i) программ  в  области образования,  повышения осведомленности иинформирования общественности, в частности молодежи;     (ii) конкретных  программ  в области образования и подготовки кад-ров, предназначенных для соответствующих сообществ и групп;     (iii) мероприятий  по укреплению потенциала в области охраны нема-териального культурного наследия,  связанных,  в частности, с вопросамиуправления и научных исследований;     (iv) неформальных способов передачи знаний;     (b) информирование общественности об опасностях, угрожающих такомунаследию,  а также о мероприятиях, осуществляемых во исполнение настоя-щей Конвенции;     (c) содействие образованию по вопросам охраны природных пространс-тв и памятных мест,  существование которых необходимо для выражения не-материального культурного наследия.      Статья 15 - Участие сообществ, групп и отдельных лиц      В рамках своей деятельности по охране нематериального  культурногонаследия каждое государство-участник стремится обеспечить по возможнос-ти самое широкое участие сообществ, групп и, в соответствующих случаях,отдельных  лиц,  которые занимаются созданием,  сохранением и передачейтакого наследия,  а также активно привлекать их к управлению таким нас-ледием.             IV. Охрана нематериального культурного наследия                        на международном уровне      Статья 16 - Репрезентативный список нематериального культурного                 наследия человечества      1. Для обеспечения большей наглядности нематериального культурногонаследия, содействия углублению осознания его значения и поощрения диа-лога на основе уважения культурного разнообразия Комитет,  по предложе-нию соответствующих государств-участников, составляет, обновляет и пуб-ликует Репрезентативный список нематериального культурного наследия че-ловечества.     2. Комитет разрабатывает и представляет на утверждение Генеральнойассамблеи критерии составления, обновления и публикации указанного Реп-резентативного списка.      Статья 17 - Список нематериального культурного наследия,                 нуждающегося в срочной охране      1. С целью принятия соответствующих мер охраны Комитет составляет,обновляет и публикует Список нематериального культурного наследия, нуж-дающегося в срочной охране,  и включает такое наследие в этот Список попросьбе соответствующего государства-участника.     2. Комитет разрабатывает и представляет на утверждение Генеральнойассамблеи  критерии  составления,  обновления  и  публикации указанногоСписка.     3. В случаях чрезвычайной срочности,  - объективные критерии кото-рых утверждаются Генеральной ассамблеей на основе предложения Комитета,-  он  может  в консультации с заинтересованным государством-участникомвключить элемент соответствующего наследия в Список, упомянутый в пунк-те 1.      Статья 18 - Программы, проекты и мероприятия по охране                 нематериального культурного наследия      1. На основе предложений,  представляемых государствами-участника-ми,  и в соответствии с разработанными Комитетом критериями, утвержден-ными Генеральной ассамблеей, Комитет проводит периодический отбор и со-действует осуществлению национальных,  субрегиональных или региональныхпрограмм,  проектов и мероприятий по охране наследия,  которые,  по егомнению, наилучшим образом отражают принципы и цели настоящей Конвенции,с учетом особых потребностей развивающихся стран.     2. С этой целью он получает,  рассматривает и утверждает заявки наоказание международной помощи,  сформулированные государствами-участни-ками для подготовки таких предложений.     3. Комитет сопровождает осуществление указанных программ, проектови мероприятий распространением передовой практики в формах, которые бу-дут им определены.                V. Международное сотрудничество и помощь      Статья 19 - Сотрудничество      1. Для  целей  настоящей  Конвенции  международное  сотрудничествовключает, в частности, обмен информацией и опытом, совместные инициати-вы,  а также создание механизма оказания помощи государствам-участникамв их усилиях, направленных на охрану нематериального культурного насле-дия.     2. Без  ущерба  для  положений их национального законодательства инорм обычного права и практики государства-участники признают,  что ох-рана  нематериального  культурного  наследия представляет общий интересдля человечества,  и с этой целью обязуются сотрудничать на  двусторон-нем, субрегиональном, региональном и международном уровнях.      Статья 20 - Цели международной помощи      Международная помощь может предоставляться в следующих целях:     (a) охрана наследия, включенного в Список нематериального культур-ного наследия, нуждающегося в срочной охране;     (b) подготовка перечней в смысле статей 11 и 12;     (c) поддержка программ,  проектов и мероприятий, осуществляемых нанациональном, субрегиональном и региональном уровнях, которые направле-ны на охрану нематериального культурного наследия;     (d) любой другой цели, которую Комитет может счесть необходимой.      Статья 21 - Формы международной помощи      Помощь, предоставляемая Комитетом государству-участнику, регламен-тируется оперативным руководством,  упомянутым в статье 7, а также сог-лашением, предусмотренным в статье 24, и может принимать следующие фор-мы:     (a) исследования, касающиеся различных аспектов охраны;     (b) предоставление  услуг  экспертов  и  носителей нематериальногокультурного наследия;     (c) подготовка любого необходимого персонала;     (d) разработка нормативных и других мер;     (e) создание и обеспечение функционирования инфраструктур;     (f) предоставление оборудования и ноу-хау;     (g) другие формы финансовой и технической помощи, включая, в опре-деленных случаях, предоставление займов под низкие проценты и пожертво-ваний.      Статья 22 - Условия предоставления международной помощи      1. Комитет устанавливает процедуру рассмотрения заявок на междуна-родную помощь и уточняет такие аспекты указанных заявок, как предусмат-риваемые меры, необходимые действия и оценка связанных с ними расходов.     2. В срочных случаях заявка на  получение  помощи  рассматриваетсяКомитетом на приоритетной основе.     3. С целью принятия решения Комитет проводит такие исследования  иконсультации, которые он считает необходимыми.      Статья 23 - Заявки на международную помощь      1. Каждое  государство-участник  может представить Комитету заявкуна международную помощь по охране нематериального культурного наследия,имеющегося на его территории.     2. Такая заявка может быть также представлена совместно двумя  илиболее государствами-участниками.     3. В заявку включается  информация,  предусмотренная  в  пункте  1статьи 22, и необходимая документация.      Статья 24 - Роль государств-участников, являющихся бенефициарами      1. В  соответствии с положениями настоящей Конвенции предоставляе-мая  международная  помощь  регулируется  соглашением  между  государс-твом-участником, являющимся бенефициаром, и Комитетом.     2. Как общее правило,  государство-участник, являющееся бенефициа-ром, в зависимости от имеющихся в его распоряжении средств, участвует впокрытии расходов, связанных с мерами охраны, на которые предоставляет-ся международная помощь.     3. Государство-участник, являющееся бенефициаром, представляет Ко-митету доклад об использовании помощи, оказываемой в целях охраны нема-териального культурного наследия.              VI. Фонд нематериального культурного наследия      Статья 25 - Характер и ресурсы Фонда      1. Настоящим учреждается "Фонд нематериального культурного  насле-дия", именуемый ниже "Фонд".     2. Этот Фонд в соответствии с Положением о финансах ЮНЕСКО являет-ся целевым фондом.     3. Средства Фонда состоят из:     (a) взносов государств-участников;     (b) средств,  ассигнованных для этой цели Генеральной конференциейЮНЕСКО;     (c) взносов,  пожертвований или завещанного имущества, которые мо-гут быть предоставлены:     (i) другими государствами;     (ii) организациями  и программами системы Организации ОбъединенныхНаций,  в частности Программой развития Организации Объединенных Наций,и другими международными организациями;     (iii) государственными или частными органами или частными лицами;     (d) любых процентных начислений на средства этого Фонда;     (e) сумм сборов и поступлений  от  мероприятий,  организованных  впользу Фонда;     (f) любых других средств, предусмотренных Положением о Фонде, раз-работанным Комитетом.     4. Комитет принимает решения об использовании  средств  на  основеруководящих указаний Генеральной ассамблеи.     5. Комитет может принимать взносы и помощь в других формах,  пред-назначенные  для общих или конкретных целей,  связанных с определеннымипроектами, при условии, что такие проекты одобрены Комитетом.     6. Внесение  взносов в Фонд не может сопровождаться никакими поли-тическими,  экономическими или иными условиями, не совместимыми с целя-ми, преследуемыми настоящей Конвенцией.      Статья 26 - Взносы государств-участников в Фонд      1. Без  ущерба для любого дополнительного добровольного взноса го-сударства-участники настоящей Конвенции обязуются  вносить  в  Фонд  покрайней мере раз в два года взносы,  сумма которых, исчисляемая по еди-ной процентной ставке,  применяемой для всех  государств,  определяетсяГенеральной ассамблеей.  Решение Генеральной ассамблеи по этому вопросупринимается большинством присутствующих и участвующих в голосовании го-сударств-участников,  которые не сделали заявления,  предусмотренного впункте 2 настоящей статьи.  Ни в коем случае указанный взнос  государс-тва-участника не превышает 1% его взноса в обычный бюджет ЮНЕСКО.     2. Однако любое государство,  упомянутое в статье 32 или в  статье33 настоящей Конвенции,  может в момент сдачи на хранение своей ратифи-кационной грамоты или документа о принятии, утверждении или присоедине-нии сделать  заявление,  что  оно не будет связано положениями пункта 1настоящей статьи.     3. Государство-участник настоящей Конвенции,  сделавшее заявление,предусмотренное в пункте 2 настоящей статьи,  прилагает усилия к  тому,чтобы отозвать свое заявление,  уведомив об этом Генерального директораЮНЕСКО. Однако отзыв заявления вступает в силу в отношении взноса, при-читающегося с этого государства,  только с даты открытия следующей сес-сии Генеральной ассамблеи.     4. Чтобы  Комитет  мог  эффективно  планировать свою деятельность,взносы государств-участников настоящей Конвенции,  сделавших заявления,предусмотренные в пункте 2 настоящей статьи,  должны вноситься на регу-лярной основе,  по крайней мере раз в два года, и должны по возможностиприближаться к сумме взносов,  которые они должны были бы вносить в томслучае, если бы они были связаны положениями пункта 1 настоящей статьи.     5. Любое государство-участник настоящей Конвенции,  имеющее задол-женность по своим обязательным или добровольным взносам за текущий  годи календарный год,  который непосредственно предшествует ему,  не можетбыть избрано членом Комитета; это положение не применяется к первым вы-борам.  Полномочия такого государства, уже являющегося членом Комитета,истекают в момент любых выборов,  предусмотренных в статье 6  настоящейКонвенции.      Статья 27 - Дополнительные добровольные взносы в Фонд      Государства-участники, желающие внести добровольные взносы, являю-щиеся дополнительными по  отношению  к  тем,  которые  предусмотрены  встатье 26,  информируют об этом Комитет как можно быстрее,  с тем чтобыон мог соответствующим образом планировать свою деятельность.      Статья 28 - Международные кампании по сбору средств      Государства-участники по мере возможности оказывают поддержку меж-дународным кампаниям по сбору средств для Фонда,  организуемым под эги-дой ЮНЕСКО.                              VII. Доклады      Статья 29 - Доклады государств-участников      Государства-участники представляют Комитету в форме и с  периодич-ностью,  определяемыми Комитетом, доклады о законодательных и регламен-тирующих положениях или других мерах,  принятых ими в целях  выполнениянастоящей Конвенции.      Статья 30 - Доклады Комитета      1. Комитет  представляет  каждой сессии Генеральной ассамблеи док-лад,  подготавливаемый на основе  его  деятельности  и  докладов  госу-дарств-участников, указанных в статье 29 выше.     2. Этот доклад доводится до сведения Генеральной конференции ЮНЕС-КО.                       VIII. Переходные положения      Статья 31 - Связь с провозглашением шедевров устного и                 нематериального наследия человечества      1. Комитет  включает  в  Репрезентативный  список  нематериальногокультурного  наследия  человечества  шедевры  устного и нематериальногонаследия человечества,  провозглашенные до вступления в силу  настоящейКонвенции.     2. Включение указанных шедевров в Репрезентативный список  немате-риального культурного наследия человечества никоим образом не предреша-ет критерии, устанавливаемые в соответствии с пунктом 2 статьи 16, при-менительно к последующим включениям.     3. После вступления настоящей Конвенции в силу не будет проводить-ся никаких дальнейших провозглашений.                      IX. Заключительные положения      Статья 32 - Ратификация, принятие и утверждение      1. Настоящая Конвенция подлежит ратификации,  принятию или утверж-дению государствами - членами ЮНЕСКО в порядке,  предусмотренном их со-ответствующими конституционными процедурами.     2. Ратификационные грамоты,  документы о принятии или  утверждениисдаются на хранение Генеральному директору ЮНЕСКО.      Статья 33 - Присоединение      1. Настоящая  Конвенция открыта для присоединения всех государств,не являющихся членами ЮНЕСКО, которым Генеральная конференция Организа-ции предлагает присоединиться к этой Конвенции.     2. Настоящая Конвенция открыта также для присоединения территорий,имеющих полное внутреннее самоуправление,  которые признаются как тако-вые Организацией Объединенных Наций, но не достигли полной независимос-ти в  соответствии с резолюцией 1514 (XV) Генеральной Ассамблеи Органи-зации Объединенных Наций, и обладающих компетенцией в вопросах, регули-руемых настоящей Конвенцией, в том числе компетенцией по заключению до-говоров, относящихся к таким вопросам.     3. Документ  о  присоединении сдается на хранение Генеральному ди-ректору ЮНЕСКО.      Статья 34 - Вступление в силу      Настоящая Конвенция вступает в силу через три месяца со дня  сдачина хранение тридцатой ратификационной грамоты или документа о принятии,утверждении или присоединении,  но лишь в отношении тех государств, ко-торые  сдали  на  хранение свои ратификационные грамоты или документы опринятии,  утверждении или присоединении в указанный день или ранее.  Вотношении любого другого государства-участника Конвенция вступает в си-лу через три месяца со дня сдачи на хранение его ратификационной грамо-ты или документа о принятии, утверждении или присоединении.      Статья 35 - Федеративные или неунитарные конституционные системы      Следующие положения применяются к государствам-участникам, имеющимфедеративное или неунитарное конституционное устройство:     (a) в  том что касается положений настоящей Конвенции,  применениекоторых относится к юрисдикции федеральной  или  центральной  законода-тельной власти,  обязательства федерального или центрального правитель-ства будут теми же, что и обязательства государств-участников, не явля-ющихся федеративными государствами;     (b) в том что касается положений настоящей  Конвенции,  применениекоторых  относится  к юрисдикции отдельных входящих в федерацию штатов,областей, провинций или кантонов, которые в соответствии с существующейв  ней конституциональной системой не обязаны принимать законодательныхмер,  федеральное правительство доводит указанные положения до сведениякомпетентных властей штатов,  областей,  провинций или кантонов с реко-мендацией о их принятии.      Статья 36 - Денонсация      1. Каждое государство-участник может денонсировать настоящую  Кон-венцию.     2. Денонсация нотифицируется письменным актом,  который сдается нахранение Генеральному директору ЮНЕСКО.     3. Денонсация вступает в силу через двенадцать месяцев после  датыполучения акта о денонсации.  Она никоим образом не изменяет финансовыхобязательств, принятых на себя  денонсирующим  государством-участником,до даты вступления в силу выхода из Конвенции.      Статья 37 - Функции депозитария      Генеральный директор ЮНЕСКО,  выступая в качестве депозитария нас-тоящей Конвенции,  информирует государства - члены  Организации,  госу-дарства,  не являющиеся членами Организации,  указанные в статье 33,  атакже Организацию Объединенных Наций о сдаче на хранение всех ратифика-ционных грамот,  документов о принятии,  утверждении или присоединении,упомянутых в статьях 32 и 33,  а также об актах денонсации, указанных встатье 36.      Статья 38 - Поправки      1. Государство-участник может путем письменного сообщения, направ-ленного Генеральному директору ЮНЕСКО,  предложить поправки к настоящейКонвенции.  Генеральный  директор  рассылает такое сообщение всем госу-дарствам-участникам.  Если в течение шести месяцев с даты рассылки ука-занного сообщения не менее половины государств-участников дадут положи-тельные ответы на это предложение,  Генеральный  директор  представляетего следующей сессии Генеральной ассамблеи для рассмотрения и возможно-го принятия.     2. Поправки  принимаются большинством в две трети присутствующих иучаствующих в голосовании государств-участников.     3. Поправки к настоящей Конвенции после их принятия подлежат рати-фикации, принятию, утверждению или присоединению государствами-участни-ками.     4. Поправки вступают в силу, но лишь в отношении государств, кото-рые ратифицировали, приняли, утвердили эти поправки к настоящей Конвен-ции или присоединились к ним, через три месяца со дня сдачи на хранениедокументов,  указанных в пункте 3 настоящей статьи, двумя третями госу-дарств-участников. В последующем для каждого государства-участника, ко-торое ратифицирует,  примет, утвердит поправку или присоединится к поп-равке, данная поправка вступает в силу через три месяца со дня сдачи нахранение государством-участником его документа о ратификации, принятии,утверждении или присоединении.     5. Процедура,  установленная в пунктах 3 и 4, не применяется в от-ношении поправок к статье 5, касающейся числа государств - членов Коми-тета. Такие поправки вступают в силу на момент их принятия.     6. Государство,  которое становится участником настоящей Конвенциипосле  вступления  в силу поправок в соответствии с пунктом 4 настоящейстатьи, если только оно не заявляет об ином намерении, считается:     (a) участником настоящей Конвенции с принятыми к ней поправками;     (b) участником настоящей Конвенции без принятых к ней  поправок  вотношении любого государства-участника, не связанного этими поправками.      Статья 39 - Аутентичность текстов      Настоящая Конвенция составлена на английском, арабском, испанском,китайском, русском и французском языках, причем все шесть текстов явля-ются равно аутентичными.      Статья 40 - Регистрация      В соответствии  со статьей 102 Устава Организации Объединенных На-ций настоящая Конвенция регистрируется в Секретариате Организации  Объ-единенных Наций по просьбе Генерального директора ЮНЕСКО.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u9lvusrasj3_1ku3_t8">
      <w:r>
        <w:rPr>
          <w:rFonts w:ascii="Arial" w:cs="Arial" w:eastAsia="Arial" w:hAnsi="Arial"/>
          <w:color w:val="132D3F"/>
          <w:sz w:val="16"/>
          <w:szCs w:val="16"/>
          <w:u w:val="single"/>
        </w:rPr>
        <w:t xml:space="preserve">dalil.kg/document/17728</w:t>
      </w:r>
    </w:hyperlink>
  </w:p>
  <w:p>
    <w:pPr>
      <w:spacing w:after="0" w:before="40"/>
      <w:jc w:val="center"/>
    </w:pPr>
    <w:hyperlink w:history="1" r:id="rId7lxsj06hkee1fljtbr5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tzwjrnqffcjpo9fwrrt" Type="http://schemas.openxmlformats.org/officeDocument/2006/relationships/hyperlink" Target="https://dalil.kg/document/19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u9lvusrasj3_1ku3_t8" Type="http://schemas.openxmlformats.org/officeDocument/2006/relationships/hyperlink" Target="https://dalil.kg/document/17728" TargetMode="External"/><Relationship Id="rId7lxsj06hkee1fljtbr5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2026-09-23T17:47:40.067Z</dcterms:created>
  <dcterms:modified xsi:type="dcterms:W3CDTF">2026-09-23T17:47:40.067Z</dcterms:modified>
</cp:coreProperties>
</file>

<file path=docProps/custom.xml><?xml version="1.0" encoding="utf-8"?>
<Properties xmlns="http://schemas.openxmlformats.org/officeDocument/2006/custom-properties" xmlns:vt="http://schemas.openxmlformats.org/officeDocument/2006/docPropsVTypes"/>
</file>