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прейскуранте тарифов на услуги по питьевой воде и отчистке сточных вод (канализации) МП «Кара-Балтинский водоканал» при мэрии города Кара-Балта"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Молдокулова Т.К. -директора МП ««Кара-Балтинский водоканал» при мэрии города Кара-Балта о тарифах на услуги по питьевой воде и отчистке сточных вод, а также руководствуясь статьями </w:t>
      </w:r>
      <w:hyperlink w:history="1" r:id="rIdwaecgaivorpllw_3foh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hlpbgtdt14l5wowdjv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прейскурант тарифов на услуги по питьевой воде и отчистке сточных вод (канализации) муниципального предприятия «Кара-Балтинский водоканал» при мэрии города Кара-Балта, 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 - 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постоянную депутатскую комиссию по бюджету, муниципальной собственности, жилищно-коммунальному хозяйству и инвестициям, а также на мэра города Кара-Балта-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мэрии</w:t>
      </w:r>
      <w:r>
        <w:rPr>
          <w:rFonts w:ascii="Arial" w:cs="Arial" w:eastAsia="Arial" w:hAnsi="Arial"/>
          <w:sz w:val="24"/>
          <w:szCs w:val="24"/>
        </w:rPr>
        <w:t xml:space="preserve"> г. Кара-Балта, МП “КВК”</w:t>
      </w:r>
      <w:r>
        <w:rPr>
          <w:rFonts w:ascii="Arial" w:cs="Arial" w:eastAsia="Arial" w:hAnsi="Arial"/>
          <w:sz w:val="24"/>
          <w:szCs w:val="24"/>
        </w:rPr>
        <w:t xml:space="preserve">, Чуй - Бишкекское Управление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КБГК № </w:t>
      </w:r>
      <w:r>
        <w:rPr>
          <w:rFonts w:ascii="Arial" w:cs="Arial" w:eastAsia="Arial" w:hAnsi="Arial"/>
          <w:sz w:val="24"/>
          <w:szCs w:val="24"/>
        </w:rPr>
        <w:t xml:space="preserve">09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4 августа 2023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ПРЕЙСКУРАНТ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тарифов на услуги по питьевой воде и отчистке сточных вод(канализации) муниципального предприятия «Кара-Балтинский водоканал» при мэрии города Кара-Балта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0"/>
        <w:gridCol w:w="2994"/>
        <w:gridCol w:w="3743"/>
      </w:tblGrid>
      <w:tr>
        <w:tc>
          <w:tcPr>
            <w:tcW w:type="dxa" w:w="3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услуг</w:t>
            </w:r>
          </w:p>
        </w:tc>
        <w:tc>
          <w:tcPr>
            <w:tcW w:type="dxa" w:w="2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Единица измерения</w:t>
            </w:r>
          </w:p>
        </w:tc>
        <w:tc>
          <w:tcPr>
            <w:tcW w:type="dxa" w:w="3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Тариф (без учета налогов)</w:t>
            </w:r>
          </w:p>
        </w:tc>
      </w:tr>
      <w:tr>
        <w:tc>
          <w:tcPr>
            <w:tcW w:type="dxa" w:w="3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Питьевая вода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-население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сом/1 м 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12,50</w:t>
            </w:r>
          </w:p>
        </w:tc>
      </w:tr>
      <w:tr>
        <w:tc>
          <w:tcPr>
            <w:tcW w:type="dxa" w:w="3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-бюджетные организации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сом/1 м 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31,00</w:t>
            </w:r>
          </w:p>
        </w:tc>
      </w:tr>
      <w:tr>
        <w:tc>
          <w:tcPr>
            <w:tcW w:type="dxa" w:w="3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-прочие организации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сом/1 м 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31,00.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</w:t>
            </w:r>
          </w:p>
        </w:tc>
      </w:tr>
      <w:tr>
        <w:tc>
          <w:tcPr>
            <w:tcW w:type="dxa" w:w="3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-население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сом/1 м 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11,90</w:t>
            </w:r>
          </w:p>
        </w:tc>
      </w:tr>
      <w:tr>
        <w:tc>
          <w:tcPr>
            <w:tcW w:type="dxa" w:w="3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-бюджетные организации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сом/1 м 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31,90</w:t>
            </w:r>
          </w:p>
        </w:tc>
      </w:tr>
      <w:tr>
        <w:tc>
          <w:tcPr>
            <w:tcW w:type="dxa" w:w="3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-прочие организации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сом/1 м 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31,90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vquufgrkcavnhhdx0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dalil.kg/document/177921</w:t>
      </w:r>
    </w:hyperlink>
  </w:p>
  <w:p>
    <w:pPr>
      <w:spacing w:after="0" w:before="40"/>
      <w:jc w:val="center"/>
    </w:pPr>
    <w:hyperlink w:history="1" r:id="rId8fwv0xjnuwznfeunp-a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ecgaivorpllw_3fohqn" Type="http://schemas.openxmlformats.org/officeDocument/2006/relationships/hyperlink" Target="https://dalil.kg/document/112302#st_34" TargetMode="External"/><Relationship Id="rIdzhlpbgtdt14l5wowdjv7c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vquufgrkcavnhhdx0mm" Type="http://schemas.openxmlformats.org/officeDocument/2006/relationships/hyperlink" Target="https://dalil.kg/document/177921" TargetMode="External"/><Relationship Id="rId8fwv0xjnuwznfeunp-a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2026-09-28T10:05:55.074Z</dcterms:created>
  <dcterms:modified xsi:type="dcterms:W3CDTF">2026-09-28T10:05:55.074Z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