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</w:t>
      </w:r>
    </w:p>
    <w:p>
      <w:pPr>
        <w:spacing w:after="120"/>
        <w:ind w:firstLine="765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Положения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продажи транспортных средств,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находящихся 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муниципальной собственности города Ош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</w:t>
      </w:r>
      <w:r>
        <w:rPr>
          <w:rFonts w:ascii="Arial" w:cs="Arial" w:eastAsia="Arial" w:hAnsi="Arial"/>
          <w:sz w:val="24"/>
          <w:szCs w:val="24"/>
        </w:rPr>
        <w:t xml:space="preserve">определяет порядок реализации транспортных средств, находящихся в муниципальной собственности</w:t>
      </w:r>
      <w:r>
        <w:rPr>
          <w:rFonts w:ascii="Arial" w:cs="Arial" w:eastAsia="Arial" w:hAnsi="Arial"/>
          <w:sz w:val="24"/>
          <w:szCs w:val="24"/>
        </w:rPr>
        <w:t xml:space="preserve"> города Ош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Организатором реализации транспортных средств, находящихся в муниципальной собственности города </w:t>
      </w:r>
      <w:r>
        <w:rPr>
          <w:rFonts w:ascii="Arial" w:cs="Arial" w:eastAsia="Arial" w:hAnsi="Arial"/>
          <w:sz w:val="24"/>
          <w:szCs w:val="24"/>
        </w:rPr>
        <w:t xml:space="preserve">Ош</w:t>
      </w:r>
      <w:r>
        <w:rPr>
          <w:rFonts w:ascii="Arial" w:cs="Arial" w:eastAsia="Arial" w:hAnsi="Arial"/>
          <w:sz w:val="24"/>
          <w:szCs w:val="24"/>
        </w:rPr>
        <w:t xml:space="preserve">, является управление муниципальной собственности (далее-уполномоченный орган) города Ош, предусмотренное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Покупатель </w:t>
      </w:r>
      <w:r>
        <w:rPr>
          <w:rFonts w:ascii="Arial" w:cs="Arial" w:eastAsia="Arial" w:hAnsi="Arial"/>
          <w:sz w:val="24"/>
          <w:szCs w:val="24"/>
        </w:rPr>
        <w:t xml:space="preserve">(далее-з</w:t>
      </w:r>
      <w:r>
        <w:rPr>
          <w:rFonts w:ascii="Arial" w:cs="Arial" w:eastAsia="Arial" w:hAnsi="Arial"/>
          <w:sz w:val="24"/>
          <w:szCs w:val="24"/>
        </w:rPr>
        <w:t xml:space="preserve">аказчик</w:t>
      </w:r>
      <w:r>
        <w:rPr>
          <w:rFonts w:ascii="Arial" w:cs="Arial" w:eastAsia="Arial" w:hAnsi="Arial"/>
          <w:sz w:val="24"/>
          <w:szCs w:val="24"/>
        </w:rPr>
        <w:t xml:space="preserve">) муниципального управления может считаться как независимо юридическим, так и физическим лицом, независимо от</w:t>
      </w:r>
      <w:r>
        <w:rPr>
          <w:rFonts w:ascii="Arial" w:cs="Arial" w:eastAsia="Arial" w:hAnsi="Arial"/>
          <w:sz w:val="24"/>
          <w:szCs w:val="24"/>
        </w:rPr>
        <w:t xml:space="preserve"> формы собственности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Государственная регистрация транспортных средств муниципальной   собственности города Ош </w:t>
      </w:r>
      <w:r>
        <w:rPr>
          <w:rFonts w:ascii="Arial" w:cs="Arial" w:eastAsia="Arial" w:hAnsi="Arial"/>
          <w:sz w:val="24"/>
          <w:szCs w:val="24"/>
        </w:rPr>
        <w:t xml:space="preserve">осуществляется уполномоченным государственным органом  на </w:t>
      </w:r>
      <w:r>
        <w:rPr>
          <w:rFonts w:ascii="Arial" w:cs="Arial" w:eastAsia="Arial" w:hAnsi="Arial"/>
          <w:sz w:val="24"/>
          <w:szCs w:val="24"/>
        </w:rPr>
        <w:t xml:space="preserve">основании договора купли-продажи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Муниципальным юридическим лицом является организация, учреждение, предприятие с транспортными средствами на балансе.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Перечень транспортных средств, выставленных на продажу и снятых со счета: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легкие транспортные средства для служебного пользования (до 9 мест, универсальные, хетчбек, лифт, лимузин, пикап, минивэн, купе);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автобусы, троллейбусы, перевозящие пассажиров;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транспортные средства и их циркуляры, предназначенные для транспортных эскапад;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тракторы и их церкви, навесное оборудование.</w:t>
      </w:r>
    </w:p>
    <w:p>
      <w:pPr>
        <w:spacing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Оценка транспортного средства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</w:t>
      </w:r>
      <w:r>
        <w:rPr>
          <w:rFonts w:ascii="Arial" w:cs="Arial" w:eastAsia="Arial" w:hAnsi="Arial"/>
          <w:sz w:val="24"/>
          <w:szCs w:val="24"/>
        </w:rPr>
        <w:t xml:space="preserve">Оценка </w:t>
      </w:r>
      <w:r>
        <w:rPr>
          <w:rFonts w:ascii="Arial" w:cs="Arial" w:eastAsia="Arial" w:hAnsi="Arial"/>
          <w:sz w:val="24"/>
          <w:szCs w:val="24"/>
        </w:rPr>
        <w:t xml:space="preserve">транспортного средства осуществляется лицензированным независимым оценщиком по требованию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Независимо от заключения об оценке</w:t>
      </w:r>
      <w:r>
        <w:rPr>
          <w:rFonts w:ascii="Arial" w:cs="Arial" w:eastAsia="Arial" w:hAnsi="Arial"/>
          <w:sz w:val="24"/>
          <w:szCs w:val="24"/>
        </w:rPr>
        <w:t xml:space="preserve"> транспортного </w:t>
      </w:r>
      <w:r>
        <w:rPr>
          <w:rFonts w:ascii="Arial" w:cs="Arial" w:eastAsia="Arial" w:hAnsi="Arial"/>
          <w:sz w:val="24"/>
          <w:szCs w:val="24"/>
        </w:rPr>
        <w:t xml:space="preserve"> средства, оценка транспортного средства отражает стоимость </w:t>
      </w:r>
      <w:r>
        <w:rPr>
          <w:rFonts w:ascii="Arial" w:cs="Arial" w:eastAsia="Arial" w:hAnsi="Arial"/>
          <w:sz w:val="24"/>
          <w:szCs w:val="24"/>
        </w:rPr>
        <w:t xml:space="preserve">по отношению к </w:t>
      </w:r>
      <w:r>
        <w:rPr>
          <w:rFonts w:ascii="Arial" w:cs="Arial" w:eastAsia="Arial" w:hAnsi="Arial"/>
          <w:sz w:val="24"/>
          <w:szCs w:val="24"/>
        </w:rPr>
        <w:t xml:space="preserve"> оценке транспортного средства с учетом </w:t>
      </w:r>
      <w:r>
        <w:rPr>
          <w:rFonts w:ascii="Arial" w:cs="Arial" w:eastAsia="Arial" w:hAnsi="Arial"/>
          <w:sz w:val="24"/>
          <w:szCs w:val="24"/>
        </w:rPr>
        <w:t xml:space="preserve"> экономической </w:t>
      </w:r>
      <w:r>
        <w:rPr>
          <w:rFonts w:ascii="Arial" w:cs="Arial" w:eastAsia="Arial" w:hAnsi="Arial"/>
          <w:sz w:val="24"/>
          <w:szCs w:val="24"/>
        </w:rPr>
        <w:t xml:space="preserve"> ситуации.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При</w:t>
      </w:r>
      <w:r>
        <w:rPr>
          <w:rFonts w:ascii="Arial" w:cs="Arial" w:eastAsia="Arial" w:hAnsi="Arial"/>
          <w:sz w:val="24"/>
          <w:szCs w:val="24"/>
        </w:rPr>
        <w:t xml:space="preserve"> оценке имущества транспортного средства,</w:t>
      </w:r>
      <w:r>
        <w:rPr>
          <w:rFonts w:ascii="Arial" w:cs="Arial" w:eastAsia="Arial" w:hAnsi="Arial"/>
          <w:sz w:val="24"/>
          <w:szCs w:val="24"/>
        </w:rPr>
        <w:t xml:space="preserve"> в соответствии с действующим законодательством Кыргызской Республики, независимая оценка правильности является юридической ответственностью.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Порядок продажи транспортных средств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Муниципальное юридическое лицо, намеревающееся реализовать транспортное средство, подает в уполномоченный орган заявление с регистрацией паспортно-технических данных транспортного средства и основанием для его реализации.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Необходимо направить на данные уполномоченного органа по продаже транспортного средства следующие документы:</w:t>
      </w:r>
    </w:p>
    <w:p>
      <w:pPr>
        <w:spacing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·</w:t>
      </w:r>
      <w:r>
        <w:rPr>
          <w:rFonts w:ascii="Arial" w:cs="Arial" w:eastAsia="Arial" w:hAnsi="Arial"/>
          <w:sz w:val="24"/>
          <w:szCs w:val="24"/>
        </w:rPr>
        <w:t xml:space="preserve">заявление муниципального юридического лица</w:t>
      </w:r>
      <w:r>
        <w:rPr>
          <w:rFonts w:ascii="Arial" w:cs="Arial" w:eastAsia="Arial" w:hAnsi="Arial"/>
          <w:sz w:val="24"/>
          <w:szCs w:val="24"/>
        </w:rPr>
        <w:t xml:space="preserve"> о продаже имущества транспортного </w:t>
      </w:r>
      <w:r>
        <w:rPr>
          <w:rFonts w:ascii="Arial" w:cs="Arial" w:eastAsia="Arial" w:hAnsi="Arial"/>
          <w:sz w:val="24"/>
          <w:szCs w:val="24"/>
        </w:rPr>
        <w:t xml:space="preserve"> средства, исходя из необходимости продажи;</w:t>
      </w:r>
    </w:p>
    <w:p>
      <w:pPr>
        <w:spacing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·</w:t>
      </w:r>
      <w:r>
        <w:rPr>
          <w:rFonts w:ascii="Arial" w:cs="Arial" w:eastAsia="Arial" w:hAnsi="Arial"/>
          <w:sz w:val="24"/>
          <w:szCs w:val="24"/>
        </w:rPr>
        <w:t xml:space="preserve">протокол заседания  администрации юридического лица и организация профессионального прикрепления;</w:t>
      </w:r>
    </w:p>
    <w:p>
      <w:pPr>
        <w:spacing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·</w:t>
      </w:r>
      <w:r>
        <w:rPr>
          <w:rFonts w:ascii="Arial" w:cs="Arial" w:eastAsia="Arial" w:hAnsi="Arial"/>
          <w:sz w:val="24"/>
          <w:szCs w:val="24"/>
        </w:rPr>
        <w:t xml:space="preserve">акт о статусе технического  специалиста транспортного средства;</w:t>
      </w:r>
    </w:p>
    <w:p>
      <w:pPr>
        <w:spacing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·</w:t>
      </w:r>
      <w:r>
        <w:rPr>
          <w:rFonts w:ascii="Arial" w:cs="Arial" w:eastAsia="Arial" w:hAnsi="Arial"/>
          <w:sz w:val="24"/>
          <w:szCs w:val="24"/>
        </w:rPr>
        <w:t xml:space="preserve">бухгалтерский баланс   заверяется руководителем и главным бухгалтером;</w:t>
      </w:r>
    </w:p>
    <w:p>
      <w:pPr>
        <w:spacing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·</w:t>
      </w:r>
      <w:r>
        <w:rPr>
          <w:rFonts w:ascii="Arial" w:cs="Arial" w:eastAsia="Arial" w:hAnsi="Arial"/>
          <w:sz w:val="24"/>
          <w:szCs w:val="24"/>
        </w:rPr>
        <w:t xml:space="preserve">Технический паспорт транспортного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Уполномоченный орган осуществляет прием и регистрацию заявлений с приложением документов от участников  (муниципальное юридическое лицо).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Объявление об открытом аукционе должно быть объявлено в средствах массовой информации не менее чем за 30 (тридцать) дней до даты его проведения.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Заявление рассматривается в течение одного месяца со дня поступления в уполномоченный орган по реализации имущества транспортного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Руководитель муниципального юридического лица несет юридическую ответственность в соответствии с действующим законодательством Кыргызской Республики за правильность выданных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После представления заключения об оценке транспортного средства независимым уполномоченный орган вправе реализовать транспортное средство через открытый аукцион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3.7. Подготовка и проведение открытого аукциона осуществляется комиссией, создаваемой мэрией города Ош.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обновляется каждый раз при проведении аукциона.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комиссии, участвовавший в предыдущем аукционе, может войти в состав комиссии, установленный на следующем аукционе.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3.8. В состав комиссии по подготовке и проведению открытого аукциона входят депутаты городского совета города Ош, вице-мэры, курирующие муниципальные юридические лица, руководители муниципальных юридических лиц, два представителя гражданского общества и другие специалисты, связанные с необходимостью.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по подготовке и проведению открытого аукциона по продаже транспортных средств утверждается мэром города Ош.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3.9.Комиссия по проведению открытых аукционов возлагает функции аукциониста (модератора-спикера) на одного из членов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3.10. Транспортные средства для открытого аукциона должны распределятся в лотереях.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права на участие в открытом аукционе клиент предоставляет организатору открытого аукциона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письменное заявление о намерении участвовать в открытом аукционе с указанием номера лота;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физиологический документ, подтверждающий личность клиента;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документ, подтверждающий личность руководителя юридического лица-заказчика;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доверенность, в которой физиологическое или юридическое лицо имеет право действовать от имени клиента;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платеж, подтверждающий, что гарантированный депозит (предоплата) был оплачен.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Гарантированный депозит (предоплата) оплачивается клиентом путем перечисления, а не наличными на счет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гарантированного взноса определяется уполномоченным по  продаже транспортных средств, либо не более 20 (двадцати)  процентов от первоначальной стоимости лота, объявленной комиссаром.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При заключении договора с победителем аукциона к продажной стоимости транспортного средства прибавляется сумма гарантированного депозита (предоплаты).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Гарантированный взнос (предоплата) выплачивается на каждый автомобиль при участии клиента в открытом аукционном периоде на несколько транспортных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Гарантированный взнос (предоплата) должен быть возвращен в течение 10 (десяти) рабочих дней: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участникам, не выигравшим открытый аукцион;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без проведения открытого аукциона;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с) за 3 (три) дня до даты открытого аукциона в случае отказа от участия в аукционе.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Открытый аукцион по продаже имущества транспортного средства включается в протокол и утверждается Комиссией на дату проведения открытого аукциона.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Право на заключение договора купли-продажи предоставляется победителю открытого аукциона, предлагающего максимальную сумму оригинала (стоимость).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3.7. После утверждения протокола о продаже активов транспортного средства открытого аукциона уполномоченный орган или муниципальное юридическое лицо заключает договор с победителем аукциона на дату проведения открытого аукциона.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3.8. В случае отказа от заключения договора купли-продажи сумма гарантированного взноса победителю открытого аукциона не возвращается.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победителем открытого аукциона становится заказчик, который предлагает последующую сумму и имеет право подписать договор купли-продажи.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3.9. В отсутствии участников, заинтересованных в приобретении транспортного средства по заявленной начальной цене, комиссия по продаже транспортных средств может принять решение о снижении начальной цены не более чем на 20%.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3.10. Победитель открытого аукциона обязан произвести оплату за транспортное средство не позднее 10 (десяти) календарных дней со дня подписания протокола открытого аукциона.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3.11. После получения платежных документов покупателя уполномоченный орган  утверждает в 5 экземплярах</w:t>
      </w:r>
      <w:r>
        <w:rPr>
          <w:rFonts w:ascii="Arial" w:cs="Arial" w:eastAsia="Arial" w:hAnsi="Arial"/>
          <w:sz w:val="24"/>
          <w:szCs w:val="24"/>
        </w:rPr>
        <w:t xml:space="preserve"> договор купли-продажи</w:t>
      </w:r>
      <w:r>
        <w:rPr>
          <w:rFonts w:ascii="Arial" w:cs="Arial" w:eastAsia="Arial" w:hAnsi="Arial"/>
          <w:sz w:val="24"/>
          <w:szCs w:val="24"/>
        </w:rPr>
        <w:t xml:space="preserve"> транспортных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Вот что вы делаете: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экземпляр – остается у уполномоченных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экземпляр</w:t>
      </w:r>
      <w:r>
        <w:rPr>
          <w:rFonts w:ascii="Arial" w:cs="Arial" w:eastAsia="Arial" w:hAnsi="Arial"/>
          <w:sz w:val="24"/>
          <w:szCs w:val="24"/>
        </w:rPr>
        <w:t xml:space="preserve"> выдается покупателю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экземпляр - уполномоченный государственный орган, осуществляющий функцию  государственной  регистрации транспортного средства;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экземпляр</w:t>
      </w:r>
      <w:r>
        <w:rPr>
          <w:rFonts w:ascii="Arial" w:cs="Arial" w:eastAsia="Arial" w:hAnsi="Arial"/>
          <w:sz w:val="24"/>
          <w:szCs w:val="24"/>
        </w:rPr>
        <w:t xml:space="preserve"> предоставляется</w:t>
      </w:r>
      <w:r>
        <w:rPr>
          <w:rFonts w:ascii="Arial" w:cs="Arial" w:eastAsia="Arial" w:hAnsi="Arial"/>
          <w:sz w:val="24"/>
          <w:szCs w:val="24"/>
        </w:rPr>
        <w:t xml:space="preserve"> в Управление безопасности дорожного движения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экземпляр остается у муниципальным юридических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3.12. Уполномоченный орган или муниципальное юридическое лицо оплачивает расходы по проведению открытого аукциона по продаже транспортного средства, включая оплату услуг по оценке транспортных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3.13. Расходы, связанные с предоставлением транспортных средств, оплачиваются за счет средств победителя аукциона.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3.14. Если одно системно основные средства (муниципальная собственность и транспортные средства) уполномоченного  органа или муниципального юридического лица  находятся под контролем, средства от реализации транспортного средства перечисляются в местный бюджет.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3.15. Если муниципальное юридическое лицо находится под полным бюджетным финансированием, выручка от реализации транспортных средств перечисляется в местный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И.Абдыраимов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j8eh1pztarw4l-gd-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dalil.kg/document/178505</w:t>
      </w:r>
    </w:hyperlink>
  </w:p>
  <w:p>
    <w:pPr>
      <w:spacing w:after="0" w:before="40"/>
      <w:jc w:val="center"/>
    </w:pPr>
    <w:hyperlink w:history="1" r:id="rIdd6fzbbhlszt40-wrdun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j8eh1pztarw4l-gd-hd" Type="http://schemas.openxmlformats.org/officeDocument/2006/relationships/hyperlink" Target="https://dalil.kg/document/178505" TargetMode="External"/><Relationship Id="rIdd6fzbbhlszt40-wrdun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2026-09-28T19:12:52.986Z</dcterms:created>
  <dcterms:modified xsi:type="dcterms:W3CDTF">2026-09-28T19:12:52.986Z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