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g8bk4uhwpt2llbf2m7h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июля 2006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следующее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24</w:t>
      </w:r>
      <w:r>
        <w:rPr>
          <w:rFonts w:ascii="Arial" w:cs="Arial" w:eastAsia="Arial" w:hAnsi="Arial"/>
          <w:sz w:val="24"/>
          <w:szCs w:val="24"/>
        </w:rPr>
        <w:t xml:space="preserve"> "Административные правонарушения, посягающие на операции с ценными бумагами"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337-1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337-1. Нарушение порядка и сроков выплаты дивидендов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акционерным обществом порядка и сроков выплаты дивидендов или их невыплата,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должностное лицо в размере ста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Должностным лицом в настоящей статье признается руководитель исполнительного органа акционерного общества".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4 августа 2006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июня 2006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bk4uhwpt2llbf2m7hjt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2026-09-23T01:22:02.896Z</dcterms:created>
  <dcterms:modified xsi:type="dcterms:W3CDTF">2026-09-23T01:22:02.896Z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