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сентября 2011 года№ 259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"Положение о Государственной системе регистрации (учета) избирателей, участников референдумов Кыргызской Республики", утвержденное постановлением Центральной избирательной комиссии 
 Кыргызской Республики 20 мая 2010 года № 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абзацем 2 части 6 статьи 14 конституционного </w:t>
      </w:r>
      <w:hyperlink w:history="1" r:id="rIdmyf0zkmuua7avqmkt--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пунктами 2, 3 части 1 статьи 7 </w:t>
      </w:r>
      <w:hyperlink w:history="1" r:id="rId-ciz1kt_orqticrugnb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в целях предоставления сведений для формирования списка избирателей с использованием единой системы учета избирателей,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Форму № 6 "Единая форма сведений об избирателях"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Территориальной избирательной комиссии по организации выборов за пределами Кыргызской Республики (МИД) представить в Центральную избирательную комиссию сведения об избирателях, проживающих и находящихся за пределами Кыргызской Республики и вставших на консульский учет, по каждому избирательному участку выборов Президента Кыргызской Республики за пределами Кыргызской Республики по Форме № 6 и копий паспортов каждого избирателя до 15 октября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Центризбиркома КР от 20 сентября 2011 года № 276)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Джурабаеву Г.К.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Сдать в МИД Кыргызской Республики до 15 января и 15 июля каждого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ЕДИНАЯ ФОРМА СВЕДЕНИЙ ОБ ИЗБИРАТЕЛЯХ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Посольство Кыргызской Республики в______________________________________________________________________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1"/>
        <w:gridCol w:w="1983"/>
        <w:gridCol w:w="1331"/>
        <w:gridCol w:w="1702"/>
        <w:gridCol w:w="1617"/>
        <w:gridCol w:w="1702"/>
        <w:gridCol w:w="1362"/>
      </w:tblGrid>
      <w:tr>
        <w:tc>
          <w:tcPr>
            <w:tcW w:type="dxa" w:w="48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№п/п</w:t>
            </w:r>
          </w:p>
        </w:tc>
        <w:tc>
          <w:tcPr>
            <w:tcW w:type="dxa" w:w="19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Фамилия,имя,отчество</w:t>
            </w:r>
          </w:p>
        </w:tc>
        <w:tc>
          <w:tcPr>
            <w:tcW w:type="dxa" w:w="13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 рождения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 возрасте 18 лет на момент регистрации дополнительно день и месяц рождения)</w:t>
            </w:r>
          </w:p>
        </w:tc>
        <w:tc>
          <w:tcPr>
            <w:tcW w:type="dxa" w:w="17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Персональный идентификационный номер социального фонда Кыргызской Республики (ПИН)</w:t>
            </w:r>
          </w:p>
        </w:tc>
        <w:tc>
          <w:tcPr>
            <w:tcW w:type="dxa" w:w="16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Серия и номер паспорта</w:t>
            </w:r>
          </w:p>
        </w:tc>
        <w:tc>
          <w:tcPr>
            <w:tcW w:type="dxa" w:w="17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последней регистрации в Кыргызской Республики</w:t>
            </w:r>
          </w:p>
        </w:tc>
        <w:tc>
          <w:tcPr>
            <w:tcW w:type="dxa" w:w="13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Особые отметки</w:t>
            </w:r>
          </w:p>
        </w:tc>
      </w:tr>
      <w:tr>
        <w:tc>
          <w:tcPr>
            <w:tcW w:type="dxa" w:w="4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Руководитель дипломатического представительства консульского учреждения 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М.П.                                      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                                                          (</w:t>
      </w:r>
      <w:r>
        <w:rPr>
          <w:rFonts w:ascii="Arial" w:cs="Arial" w:eastAsia="Arial" w:hAnsi="Arial"/>
          <w:sz w:val="20"/>
          <w:szCs w:val="20"/>
        </w:rPr>
        <w:t xml:space="preserve">подпись) (фамилия,имя,отчество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ry2ed6a-_2mrwpmaubi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dalil.kg/document/19885</w:t>
      </w:r>
    </w:hyperlink>
  </w:p>
  <w:p>
    <w:pPr>
      <w:spacing w:after="0" w:before="40"/>
      <w:jc w:val="center"/>
    </w:pPr>
    <w:hyperlink w:history="1" r:id="rIdbzpwdbaocsfx-1vjtwnh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yf0zkmuua7avqmkt--sy" Type="http://schemas.openxmlformats.org/officeDocument/2006/relationships/hyperlink" Target="https://dalil.kg/document/203244" TargetMode="External"/><Relationship Id="rId-ciz1kt_orqticrugnbpf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ry2ed6a-_2mrwpmaubiy" Type="http://schemas.openxmlformats.org/officeDocument/2006/relationships/hyperlink" Target="https://dalil.kg/document/19885" TargetMode="External"/><Relationship Id="rIdbzpwdbaocsfx-1vjtwnh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2026-10-07T01:09:00.325Z</dcterms:created>
  <dcterms:modified xsi:type="dcterms:W3CDTF">2026-10-07T01:09:00.325Z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