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 </w:t>
      </w:r>
      <w:hyperlink w:history="1" r:id="rIdnghq7_9ij6xcomaygso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МЕТОДИЧЕСКАЯ ИНСТРУКЦИЯ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применение льгот внутренним поставщикам (подрядчикам)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Минфина КР от </w:t>
      </w:r>
      <w:hyperlink w:history="1" r:id="rIdgvrnut1k-392eercbxmo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 150-П)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Методическая инструкция на применение льгот внутренним поставщикам (подрядчикам) определяет механизм предоставления льгот внутренним поставщикам (подрядчикам), участвующим в процедуре государственных закупок. Оценка согласно методической инструкции осуществляется конкурсной комиссией.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Закупающая организация при оценке конкурсных заявок, обязана предоставить льготы на предложенную цену до 20 процентов на товары, произведенные на территории Кыргызской Республики, по сравнению с конкурсными заявками на товары иностранного производства, а также на работы до 20 процентов на предложения внутренних подрядчиков по сравнению с предложениями зарубежных фирм, при условии использования внутренними подрядчиками не менее 70 процентов местных трудовых ресурсов, а также не менее 30 процентов местного сырья и материалов.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Минфина КР от </w:t>
      </w:r>
      <w:hyperlink w:history="1" r:id="rIdxwzsmbq1oocenyleuaa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 150-П)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1-1. Согласно ч.6. </w:t>
      </w:r>
      <w:r>
        <w:rPr>
          <w:rFonts w:ascii="Arial" w:cs="Arial" w:eastAsia="Arial" w:hAnsi="Arial"/>
          <w:sz w:val="24"/>
          <w:szCs w:val="24"/>
        </w:rPr>
        <w:t xml:space="preserve">ст.4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fvqgveii_7evcrktom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в отношении поставщиков (подрядчиков) государств-членов Евразийского экономического союза (далее - ЕАЭС) применяются нормы, предусмотренные Договором, ратифицированным Кыргызской Республикой в установленном законодательством порядке. В случае предоставления преимущественного права для отечественных производителей (внутренних поставщиков) при закупке товаров и работ, закупающие организации также должны предоставлять льготы (преференции), установленные законодательством Кыргызской Республики в сфере государственных закупок и для поставщиков (подрядчиков) государств-членов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ЕАЭС.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Минфина КР </w:t>
      </w:r>
      <w:hyperlink w:history="1" r:id="rIdvdxfxnvybqztnmmcvhz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31 декабря 2019 года № 150-П)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применения льгот, конкурсные документы должны содержать размер льгот, а также требование о предоставлении участниками документов, позволяющую установить приемлемость применения льгот к его конкурсной заявке. Наличие только регистрации на территории Кыргызской Республики производителя или поставщика/подрядчика не является основанием для получения такой льготы.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предоставления льгот, закупающая организация должна предусмотреть в конкурсных документах размер льгот. В объявлении указать информацию о предоставлении льготы на товары отечественного производства или внутренним подрядчикам. В последующем сделанное заявление о предоставлении льгот и размер льгот изменению не подлежит.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предоставления льгот внутренним поставщикам или подрядчикам закупающая организация руководствуется </w:t>
      </w:r>
      <w:hyperlink w:history="1" r:id="rIdvulhgnosm7j7vms-fku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настоящей инструкцией. В отношении иностранных поставщиков (подрядчиков) применяются нормы международных договоров, вступивших в законную силу в установленном законодательством порядке,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Процедуру применения льгот следует проводить только после проведения этапов оценки по определению конкурсной заявки с наименьшей оцененной стоимостью, проведенных согласно Инструкции по оценке конкурсных заявок.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Минфина КР от </w:t>
      </w:r>
      <w:hyperlink w:history="1" r:id="rIdms-3k67qro_gdiw0yeu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 150-П)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Если после оценки конкурсных заявок определены победителем внутренние поставщики (подрядчики), то в применении методики предоставления льгот нет необходимости.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Минфина КР от </w:t>
      </w:r>
      <w:hyperlink w:history="1" r:id="rIdkpcw90-bo4aj_lgut6d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 150-П)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Если в ходе оценки конкурсной комиссией определена победителем иностранная компания, то применение методики осуществляется на основании пункта 2 и 3 при условии выполнения требования в пункте 1 настоящей методической инструкции.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Минфина КР от </w:t>
      </w:r>
      <w:hyperlink w:history="1" r:id="rIdwqtstx-ap23sqarr3en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 150-П)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Сравнение конкурсных заявок для предоставления льгот применимо только к конкурсным заявкам, отвечающим требованиям конкурсной документации, процедура применения льгот осуществляется в сроки действия конкурсной заявки.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Минфина КР от </w:t>
      </w:r>
      <w:hyperlink w:history="1" r:id="rIda2s6epiih4eg6dcymnt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 150-П)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8-1. Если после предоставления льгот цены поставщиков (подрядчиков) стали одинаковыми (с учетом снижения цены на размер льгот), то договор заключается с поставщиком (подрядчиком), который имеет право на льготу и признан победителем конкурса. В том случае, если все поставщики (подрядчики) имеют право на льготу, то в применении методики предоставления льгот нет необходимости.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Минфина КР от </w:t>
      </w:r>
      <w:hyperlink w:history="1" r:id="rIdwzjoe1kqvemlmhciq1na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 150-П)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Льготы для товаров отечественного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закупке товаров, закупающая организация может применить льготы на товары, производимые на территории Кыргызской Республики внутренними поставщиками в размере, указанном в конкурсных документациях, разработанных закупающей организацией, по сравнению с конкурсными заявками на товары иностранного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конкурсных документах следует указать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внутренних поставщиков перечень документов, которые следует предоставить для доказательства происхождение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иностранных поставщиков следует предоставить цену товара на условиях CIP (Инкотермс 2012).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оценке и сравнении конкурсных заявок закупающая организация должны применить следующую методику применения льгот.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целях сравнения, конкурсные заявки участников необходимо разбить на две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А: конкурсные заявки, на товары, произведенные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Б: конкурсные заявки, на товары, иностранного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Цена на товары в предложениях Группы А должны включать все пошлины и налоги, которые уплачены или подлежат уплате, но не включать налоги с продаж или налог на добавленную стоимость. Цена на товары предложения из Группы Б основанные на условиях СIP, что означает исключение таможенных платежей и других налогов на импорт, уже уплаченных или подлежащих оплате.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Чтобы определить конкурсную заявку с наименьшей оцененной стоимостью, на первом этапе все конкурсные заявки сравниваются в своей группе, например: конкурсные заявки, из Группы А (отечественные товары) и Группы Б (товары иностранного производства). Затем конкурсные заявки с наименьшей оцененной стоимостью каждой группы сопоставляются друг с другом. Если в результате сопоставления определится, что конкурсная заявка из Группы А (отечественные товары) имеет наименьшую оцененную стоимость, чем конкурсная заявка из Группы Б (товары иностранного производства), конкурсная заявка из Группы А (отечественные товары) признается победителем, в данном случаи нет необходимости в применении действий, указанных в таблице Приложения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Если в результате сравнения, окажется конкурсная заявка с наименьшей оцененной стоимостью из Группы Б (товары иностранного производства), исключительно в целях дальнейшего сравнения с Группой А, цена конкурсной заявки из Группы Б (товары иностранного производства) увеличивается в процентах размера льгот предусмотренный в конкурсных документах от цены СIP данной конкурсной заявки </w:t>
      </w:r>
      <w:hyperlink w:history="1" r:id="rId1h2foisl7rdhe-y6mv9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А).</w:t>
        </w:r>
      </w:hyperlink>
      <w:r>
        <w:rPr>
          <w:rFonts w:ascii="Arial" w:cs="Arial" w:eastAsia="Arial" w:hAnsi="Arial"/>
          <w:sz w:val="24"/>
          <w:szCs w:val="24"/>
        </w:rPr>
        <w:t xml:space="preserve"> Если в результате применения льгот выясниться, что конкурсная заявка из Группы А (отечественные товары) имеет наименьшую оцененную стоимость, чем конкурсная заявка из Группы Б (товары иностранного производства), конкурсная заявка из Группы А (отечественные товары) признается победителем.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Льгота для отечественных подрядчиков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закупке работ, осуществляемые на территории Кыргызской Республики закупающая организация может предоставить льготу внутренним подрядчикам в размере, указанном в конкурсной документации, по сравнению с предложениями зарубежных подрядчиков.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предоставлении конкурсной заявки внутренние подрядчики и иностранные компании должны включить в цену все налоги в соответствии с Налоговым </w:t>
      </w:r>
      <w:hyperlink w:history="1" r:id="rId2o9jgj3cdbew0vf7rtp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Внутренний подрядчик, претендующий на получение льготы должен предоставить, как часть данных для подтверждения квалификации, сведения, относительно страны регистрации, количества работников, (граждан Кыргызской Республики вовлекаемых в выполнении работ с указанием их квалификации), документы подтверждающие происхождения используемых строительных материалов, чтобы доказать использования внутренними подрядчиками  не менее 70 процентов местных трудовых ресурсов и 30 процентов местного сырья и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оценке и сравнении конкурсных заявок закупающая организация должна применить следующую методику применения льгот.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После того, как конкурсные заявки приняты и рассмотрены, конкурсные заявки, отвечающие требованиям, классифицируются по нижеследующим группам: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А: конкурсные заявки, предложенные внутренними подрядчиками, которые имеют право на льготы.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Б: конкурсные заявки, предложенные иностранными подрядчиками.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21.Чтобы определить конкурсную заявку с наименьшей оцененной стоимостью, на первом этапе все конкурсные заявки сравниваются в своей группе, например конкурсные заявки, из Группы А (внутренние подрядчики) и Группы Б (иностранные подрядчики). Затем конкурсные заявки с наименьшей оцененной стоимостью каждой группы сопоставляются друг с другом. Если в результате сопоставления выясниться, что конкурсная заявка из Группы А (внутренние подрядчики) имеет наименьшую оцененную стоимость, чем конкурсная заявка из Группы Б (иностранные подрядчики), конкурсная заявка из Группы А (внутренние подрядчики) признается победителем.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Если в результате сопоставления выясниться, что конкурсная заявка из Группы Б (иностранные подрядчики) имеет наименьшую оцененную стоимость, чем конкурсная заявка из Группы А (внутренние подрядчики), сумма равная от указанных процентов льгот от суммы конкурсной заявки из Группы А прибавляется к конкурсным заявкам иностранных подрядчиков, входящих в Группу Б (</w:t>
      </w:r>
      <w:hyperlink w:history="1" r:id="rIdkrdho0p26mrmfjzdvsn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Б).</w:t>
        </w:r>
      </w:hyperlink>
      <w:r>
        <w:rPr>
          <w:rFonts w:ascii="Arial" w:cs="Arial" w:eastAsia="Arial" w:hAnsi="Arial"/>
          <w:sz w:val="24"/>
          <w:szCs w:val="24"/>
        </w:rPr>
        <w:t xml:space="preserve"> Если после такого сравнения предложение из Группы А (внутренние подрядчики) признается самым низким, то признается победителем.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Оформление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ходе оценки конкурсная комиссия заполняет в зависимости от предмета закупок Приложения данной методологии, которые подписываются полным составом конкурсной комиссии. Результаты применения льгот указывается в Приложении 4 Инструкции по оценке конкурсных заявок цену с учетом применения размера льгот. Окончательная оценка конкурсных заявок с учетом льгот должна быть указана в оценочном отчете конкурсной комиссии согласно Инструкции по оценке конкурсных заявок и вносится отделу закупок закупающей организации для дальнейшего внесения предложения на заключение договора от имени закупающей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Льгота внутренним поставщиком на товары, произведенные на территории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5"/>
        <w:gridCol w:w="804"/>
        <w:gridCol w:w="1205"/>
        <w:gridCol w:w="1226"/>
        <w:gridCol w:w="1091"/>
        <w:gridCol w:w="523"/>
        <w:gridCol w:w="1193"/>
      </w:tblGrid>
      <w:tr>
        <w:tc>
          <w:tcPr>
            <w:tcW w:type="dxa" w:w="41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Участник конкурса</w:t>
            </w:r>
          </w:p>
        </w:tc>
        <w:tc>
          <w:tcPr>
            <w:tcW w:type="dxa" w:w="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цена</w:t>
            </w:r>
          </w:p>
        </w:tc>
        <w:tc>
          <w:tcPr>
            <w:tcW w:type="dxa" w:w="1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Исключения, на которые не распространяются льготы</w:t>
            </w:r>
          </w:p>
        </w:tc>
        <w:tc>
          <w:tcPr>
            <w:tcW w:type="dxa" w:w="12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исправленная сумма</w:t>
            </w:r>
          </w:p>
        </w:tc>
        <w:tc>
          <w:tcPr>
            <w:tcW w:type="dxa" w:w="1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Льготы отечественным производителям (%)</w:t>
            </w:r>
          </w:p>
        </w:tc>
        <w:tc>
          <w:tcPr>
            <w:tcW w:type="dxa" w:w="5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льготы</w:t>
            </w:r>
          </w:p>
        </w:tc>
        <w:tc>
          <w:tcPr>
            <w:tcW w:type="dxa" w:w="1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цена сравнения</w:t>
            </w:r>
          </w:p>
        </w:tc>
      </w:tr>
      <w:tr>
        <w:tc>
          <w:tcPr>
            <w:tcW w:type="dxa" w:w="41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(а)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(б)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(в)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(г) = (б) – (в)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(е)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(ж) = (д) + (е)</w:t>
            </w:r>
          </w:p>
        </w:tc>
      </w:tr>
      <w:tr>
        <w:tc>
          <w:tcPr>
            <w:tcW w:type="dxa" w:w="41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Конкурсные заявки, предлагающие товар отечественного производства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А1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4400=5500-1100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4400</w:t>
            </w:r>
          </w:p>
        </w:tc>
      </w:tr>
      <w:tr>
        <w:tc>
          <w:tcPr>
            <w:tcW w:type="dxa" w:w="41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Конкурсные заявки, предлагающие товары иностранного производства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Б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5000–1000=4000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4000+800=4800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(а) </w:t>
      </w:r>
      <w:r>
        <w:rPr>
          <w:rFonts w:ascii="Arial" w:cs="Arial" w:eastAsia="Arial" w:hAnsi="Arial"/>
          <w:sz w:val="24"/>
          <w:szCs w:val="24"/>
        </w:rPr>
        <w:t xml:space="preserve">указывается участник конкурса с указанием государственной принадлежности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(б) указывается общая цена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(в) указывается сумма всех налогов изымаемые на территории Кыргызской Республики (налог с продаж и налог на добавленную стоимость)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(г) вычитается из общей суммы сумма налогов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(д) указывается процент льгот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(е) указывается цена льгот, от цены (д) иностранного подрядчика.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(ж) указывается цена с учетом льготы.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Конкурсной комиссией по результатам применения льгот определено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конкурсной комиссии: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мнение членов конкурсной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Б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Льготы на работы внутренним подрядчикам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32"/>
        <w:gridCol w:w="2109"/>
        <w:gridCol w:w="1612"/>
        <w:gridCol w:w="993"/>
        <w:gridCol w:w="798"/>
        <w:gridCol w:w="938"/>
        <w:gridCol w:w="1995"/>
      </w:tblGrid>
      <w:tr>
        <w:tc>
          <w:tcPr>
            <w:tcW w:type="dxa" w:w="173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Участник конкурса</w:t>
            </w:r>
          </w:p>
        </w:tc>
        <w:tc>
          <w:tcPr>
            <w:tcW w:type="dxa" w:w="21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Кол–во отечественных специалистов трудовых ресурсов,</w:t>
            </w:r>
          </w:p>
        </w:tc>
        <w:tc>
          <w:tcPr>
            <w:tcW w:type="dxa" w:w="1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используемых местного сырья и материалов</w:t>
            </w:r>
          </w:p>
        </w:tc>
        <w:tc>
          <w:tcPr>
            <w:tcW w:type="dxa" w:w="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цена</w:t>
            </w:r>
          </w:p>
        </w:tc>
        <w:tc>
          <w:tcPr>
            <w:tcW w:type="dxa" w:w="7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льгот</w:t>
            </w:r>
          </w:p>
        </w:tc>
        <w:tc>
          <w:tcPr>
            <w:tcW w:type="dxa" w:w="9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льготы</w:t>
            </w:r>
          </w:p>
        </w:tc>
        <w:tc>
          <w:tcPr>
            <w:tcW w:type="dxa" w:w="19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цена сравнения</w:t>
            </w:r>
          </w:p>
        </w:tc>
      </w:tr>
      <w:tr>
        <w:tc>
          <w:tcPr>
            <w:tcW w:type="dxa" w:w="173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(а)</w:t>
            </w:r>
          </w:p>
        </w:tc>
        <w:tc>
          <w:tcPr>
            <w:tcW w:type="dxa" w:w="2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(б)1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(б)2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(г)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(д)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(е) = (в) - (г) + (д)</w:t>
            </w:r>
          </w:p>
        </w:tc>
      </w:tr>
      <w:tr>
        <w:tc>
          <w:tcPr>
            <w:tcW w:type="dxa" w:w="173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Конкурсная заявка внутреннего подрядчика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(пример)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А</w:t>
            </w:r>
          </w:p>
        </w:tc>
        <w:tc>
          <w:tcPr>
            <w:tcW w:type="dxa" w:w="2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70% местных трудовых ресурсов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173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Конкурсная заявка иностранного подрядчика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(Группа Б)</w:t>
            </w:r>
          </w:p>
        </w:tc>
        <w:tc>
          <w:tcPr>
            <w:tcW w:type="dxa" w:w="2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4800+960=5760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(а) указывается участник конкурса с указанием государственной принадлежности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графе(б)1 указывается количество местных трудовых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(б)2 указывается суммарное выражение используемых местного сырья и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(в) указывается общая цена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(г) указывается процент льгот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(д) указывается сумма льготы.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(е) указывается цена сравнения конкурсных заявок с учетом льгот.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Конкурсной комиссией по результатам применения льгот установлено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конкурсной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мнение членов конкурсной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- Указанная в методике информация является только примером, в данных графах должны быть указаны данные по проведенным закупкам.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vtwnca5pwnt8_hbbk5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dalil.kg/document/200016</w:t>
      </w:r>
    </w:hyperlink>
  </w:p>
  <w:p>
    <w:pPr>
      <w:spacing w:after="0" w:before="40"/>
      <w:jc w:val="center"/>
    </w:pPr>
    <w:hyperlink w:history="1" r:id="rIdsmn6azrm_xru4vd4z8l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hq7_9ij6xcomaygsosu" Type="http://schemas.openxmlformats.org/officeDocument/2006/relationships/hyperlink" Target="https://dalil.kg/document/200014" TargetMode="External"/><Relationship Id="rIdgvrnut1k-392eercbxmo9" Type="http://schemas.openxmlformats.org/officeDocument/2006/relationships/hyperlink" Target="https://dalil.kg/document/200418" TargetMode="External"/><Relationship Id="rIdxwzsmbq1oocenyleuaase" Type="http://schemas.openxmlformats.org/officeDocument/2006/relationships/hyperlink" Target="https://dalil.kg/document/200418" TargetMode="External"/><Relationship Id="rIdwfvqgveii_7evcrktomuc" Type="http://schemas.openxmlformats.org/officeDocument/2006/relationships/hyperlink" Target="https://dalil.kg/document/111125" TargetMode="External"/><Relationship Id="rIdvdxfxnvybqztnmmcvhzjn" Type="http://schemas.openxmlformats.org/officeDocument/2006/relationships/hyperlink" Target="https://dalil.kg/document/200418" TargetMode="External"/><Relationship Id="rIdvulhgnosm7j7vms-fkujw" Type="http://schemas.openxmlformats.org/officeDocument/2006/relationships/hyperlink" Target="https://dalil.kg/document/111125" TargetMode="External"/><Relationship Id="rIdms-3k67qro_gdiw0yeuro" Type="http://schemas.openxmlformats.org/officeDocument/2006/relationships/hyperlink" Target="https://dalil.kg/document/200418" TargetMode="External"/><Relationship Id="rIdkpcw90-bo4aj_lgut6dvo" Type="http://schemas.openxmlformats.org/officeDocument/2006/relationships/hyperlink" Target="https://dalil.kg/document/200418" TargetMode="External"/><Relationship Id="rIdwqtstx-ap23sqarr3enki" Type="http://schemas.openxmlformats.org/officeDocument/2006/relationships/hyperlink" Target="https://dalil.kg/document/200418" TargetMode="External"/><Relationship Id="rIda2s6epiih4eg6dcymntbq" Type="http://schemas.openxmlformats.org/officeDocument/2006/relationships/hyperlink" Target="https://dalil.kg/document/200418" TargetMode="External"/><Relationship Id="rIdwzjoe1kqvemlmhciq1na7" Type="http://schemas.openxmlformats.org/officeDocument/2006/relationships/hyperlink" Target="https://dalil.kg/document/200418" TargetMode="External"/><Relationship Id="rId1h2foisl7rdhe-y6mv937" Type="http://schemas.openxmlformats.org/officeDocument/2006/relationships/hyperlink" Target="https://dalil.kg/document/200016#p1" TargetMode="External"/><Relationship Id="rId2o9jgj3cdbew0vf7rtpin" Type="http://schemas.openxmlformats.org/officeDocument/2006/relationships/hyperlink" Target="https://dalil.kg/document/202445" TargetMode="External"/><Relationship Id="rIdkrdho0p26mrmfjzdvsncz" Type="http://schemas.openxmlformats.org/officeDocument/2006/relationships/hyperlink" Target="https://dalil.kg/document/200016#p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vtwnca5pwnt8_hbbk5_" Type="http://schemas.openxmlformats.org/officeDocument/2006/relationships/hyperlink" Target="https://dalil.kg/document/200016" TargetMode="External"/><Relationship Id="rIdsmn6azrm_xru4vd4z8l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2026-09-24T23:24:01.874Z</dcterms:created>
  <dcterms:modified xsi:type="dcterms:W3CDTF">2026-09-24T23:24:01.874Z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