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hyperlink w:history="1" r:id="rId-ez7czzz9ebt6ob5prvg0">
        <w:r>
          <w:rPr>
            <w:rFonts w:ascii="Arial" w:cs="Arial" w:eastAsia="Arial" w:hAnsi="Arial"/>
            <w:color w:val="1D4ED8"/>
            <w:sz w:val="24"/>
            <w:szCs w:val="24"/>
            <w:u w:val="single"/>
          </w:rPr>
          <w:t xml:space="preserve">№2</w:t>
        </w:r>
      </w:hyperlink>
      <w:r>
        <w:rPr>
          <w:rFonts w:ascii="Arial" w:cs="Arial" w:eastAsia="Arial" w:hAnsi="Arial"/>
          <w:sz w:val="24"/>
          <w:szCs w:val="24"/>
        </w:rPr>
        <w:t xml:space="preserve"> к </w:t>
      </w:r>
      <w:hyperlink w:history="1" r:id="rIdj2txfazu2tq_exewaxwy1">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Фонда по управлению государственным имуществом при Правительстве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Методические  инструкции  
 по ведению Единого  реестра  государственного имущества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ПРАВИЛА ВЕДЕНИЯ ЕДИНОГО РЕЕСТРА</w:t>
      </w:r>
    </w:p>
    <w:p>
      <w:pPr>
        <w:spacing w:after="120"/>
        <w:jc w:val="both"/>
      </w:pPr>
      <w:r>
        <w:rPr>
          <w:rFonts w:ascii="Arial" w:cs="Arial" w:eastAsia="Arial" w:hAnsi="Arial"/>
          <w:sz w:val="24"/>
          <w:szCs w:val="24"/>
        </w:rPr>
        <w:t xml:space="preserve">ГОСУДАРСТВЕННОГО ИМУЩЕСТВА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ФОРМЫ И МЕТОДИЧЕСКИЕ ИНСТРУКЦИИ</w:t>
      </w:r>
    </w:p>
    <w:p>
      <w:pPr>
        <w:spacing w:after="120"/>
        <w:jc w:val="both"/>
      </w:pPr>
      <w:r>
        <w:rPr>
          <w:rFonts w:ascii="Arial" w:cs="Arial" w:eastAsia="Arial" w:hAnsi="Arial"/>
          <w:sz w:val="24"/>
          <w:szCs w:val="24"/>
        </w:rPr>
        <w:t xml:space="preserve">ПО ИХ ЗАПОЛНЕНИЮ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Внедрение и ведение Единого реестра государственного имущества предусмотрено Национальной стратегией устойчивого развития Кыргызской Республики на период 2013- 2017 годы, утвержденной Указом Президента Кыргызской Республики от 21 января 2013 года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Цели и принципы ведения ЕРГИ</w:t>
      </w:r>
    </w:p>
    <w:p>
      <w:pPr>
        <w:spacing w:after="120"/>
        <w:jc w:val="both"/>
      </w:pPr>
      <w:r>
        <w:rPr>
          <w:rFonts w:ascii="Arial" w:cs="Arial" w:eastAsia="Arial" w:hAnsi="Arial"/>
          <w:sz w:val="24"/>
          <w:szCs w:val="24"/>
        </w:rPr>
        <w:t xml:space="preserve">2. Единый реестр государственного имущества (далее - ЕРГИ) является систематизированным государственным информационным ресурсом, содержащим сведения о составе и структуре государственного имущества Кыргызской Республики.</w:t>
      </w:r>
    </w:p>
    <w:p>
      <w:pPr>
        <w:spacing w:after="120"/>
        <w:jc w:val="both"/>
      </w:pPr>
      <w:r>
        <w:rPr>
          <w:rFonts w:ascii="Arial" w:cs="Arial" w:eastAsia="Arial" w:hAnsi="Arial"/>
          <w:sz w:val="24"/>
          <w:szCs w:val="24"/>
        </w:rPr>
        <w:t xml:space="preserve">3. Учет государственного имущества в ЕРГИ предназначен для осуществления регистрационных и информационных целей и не имеет правоустанавливающего или правоудостоверяющего значения.</w:t>
      </w:r>
    </w:p>
    <w:p>
      <w:pPr>
        <w:spacing w:after="120"/>
        <w:jc w:val="both"/>
      </w:pPr>
      <w:r>
        <w:rPr>
          <w:rFonts w:ascii="Arial" w:cs="Arial" w:eastAsia="Arial" w:hAnsi="Arial"/>
          <w:sz w:val="24"/>
          <w:szCs w:val="24"/>
        </w:rPr>
        <w:t xml:space="preserve">4. Данные ЕРГИ принадлежат государству. Уполномоченным органом по ведению ЕРГИ является Фонд по управлению государственным имуществом при Правительстве Кыргызской Республики (далее - ФУГИ).</w:t>
      </w:r>
    </w:p>
    <w:p>
      <w:pPr>
        <w:spacing w:after="120"/>
        <w:jc w:val="both"/>
      </w:pPr>
      <w:r>
        <w:rPr>
          <w:rFonts w:ascii="Arial" w:cs="Arial" w:eastAsia="Arial" w:hAnsi="Arial"/>
          <w:sz w:val="24"/>
          <w:szCs w:val="24"/>
        </w:rPr>
        <w:t xml:space="preserve">5. ЕРГИ ведется в целях:</w:t>
      </w:r>
    </w:p>
    <w:p>
      <w:pPr>
        <w:spacing w:after="120"/>
        <w:jc w:val="both"/>
      </w:pPr>
      <w:r>
        <w:rPr>
          <w:rFonts w:ascii="Arial" w:cs="Arial" w:eastAsia="Arial" w:hAnsi="Arial"/>
          <w:sz w:val="24"/>
          <w:szCs w:val="24"/>
        </w:rPr>
        <w:t xml:space="preserve">- обеспечения государственного учета имущества, находящегося в государственной собственности Кыргызской Республики;</w:t>
      </w:r>
    </w:p>
    <w:p>
      <w:pPr>
        <w:spacing w:after="120"/>
        <w:jc w:val="both"/>
      </w:pPr>
      <w:r>
        <w:rPr>
          <w:rFonts w:ascii="Arial" w:cs="Arial" w:eastAsia="Arial" w:hAnsi="Arial"/>
          <w:sz w:val="24"/>
          <w:szCs w:val="24"/>
        </w:rPr>
        <w:t xml:space="preserve">- создания информационной системы государственного имущества Кыргызской Республики;</w:t>
      </w:r>
    </w:p>
    <w:p>
      <w:pPr>
        <w:spacing w:after="120"/>
        <w:jc w:val="both"/>
      </w:pPr>
      <w:r>
        <w:rPr>
          <w:rFonts w:ascii="Arial" w:cs="Arial" w:eastAsia="Arial" w:hAnsi="Arial"/>
          <w:sz w:val="24"/>
          <w:szCs w:val="24"/>
        </w:rPr>
        <w:t xml:space="preserve">- установления единых норм и правил предоставления информации о всех объектах в государственной собственности;</w:t>
      </w:r>
    </w:p>
    <w:p>
      <w:pPr>
        <w:spacing w:after="120"/>
        <w:jc w:val="both"/>
      </w:pPr>
      <w:r>
        <w:rPr>
          <w:rFonts w:ascii="Arial" w:cs="Arial" w:eastAsia="Arial" w:hAnsi="Arial"/>
          <w:sz w:val="24"/>
          <w:szCs w:val="24"/>
        </w:rPr>
        <w:t xml:space="preserve">- обеспечения непрерывности предоставления информации и актуализации данных об объектах ЕРГИ;</w:t>
      </w:r>
    </w:p>
    <w:p>
      <w:pPr>
        <w:spacing w:after="120"/>
        <w:jc w:val="both"/>
      </w:pPr>
      <w:r>
        <w:rPr>
          <w:rFonts w:ascii="Arial" w:cs="Arial" w:eastAsia="Arial" w:hAnsi="Arial"/>
          <w:sz w:val="24"/>
          <w:szCs w:val="24"/>
        </w:rPr>
        <w:t xml:space="preserve">- осуществления контроля в отношении изменений в составе и структуре государственного имущества, учтенного в ЕРГИ.</w:t>
      </w:r>
    </w:p>
    <w:p>
      <w:pPr>
        <w:spacing w:after="120"/>
        <w:jc w:val="both"/>
      </w:pPr>
      <w:r>
        <w:rPr>
          <w:rFonts w:ascii="Arial" w:cs="Arial" w:eastAsia="Arial" w:hAnsi="Arial"/>
          <w:sz w:val="24"/>
          <w:szCs w:val="24"/>
        </w:rPr>
        <w:t xml:space="preserve">6. ЕРГИ должен строится на принципах:</w:t>
      </w:r>
    </w:p>
    <w:p>
      <w:pPr>
        <w:spacing w:after="120"/>
        <w:jc w:val="both"/>
      </w:pPr>
      <w:r>
        <w:rPr>
          <w:rFonts w:ascii="Arial" w:cs="Arial" w:eastAsia="Arial" w:hAnsi="Arial"/>
          <w:sz w:val="24"/>
          <w:szCs w:val="24"/>
        </w:rPr>
        <w:t xml:space="preserve">- полноты и достоверности содержащихся в нем сведений;</w:t>
      </w:r>
    </w:p>
    <w:p>
      <w:pPr>
        <w:spacing w:after="120"/>
        <w:jc w:val="both"/>
      </w:pPr>
      <w:r>
        <w:rPr>
          <w:rFonts w:ascii="Arial" w:cs="Arial" w:eastAsia="Arial" w:hAnsi="Arial"/>
          <w:sz w:val="24"/>
          <w:szCs w:val="24"/>
        </w:rPr>
        <w:t xml:space="preserve">- эффективности использования содержащихся в нем сведений в целях управления государственным имуществом;</w:t>
      </w:r>
    </w:p>
    <w:p>
      <w:pPr>
        <w:spacing w:after="120"/>
        <w:jc w:val="both"/>
      </w:pPr>
      <w:r>
        <w:rPr>
          <w:rFonts w:ascii="Arial" w:cs="Arial" w:eastAsia="Arial" w:hAnsi="Arial"/>
          <w:sz w:val="24"/>
          <w:szCs w:val="24"/>
        </w:rPr>
        <w:t xml:space="preserve">- оперативности, точности информации, предоставляемой из ЕРГИ пользователям, имеющим доступ к ней в соответствии с законодательством Кыргызской Республики;</w:t>
      </w:r>
    </w:p>
    <w:p>
      <w:pPr>
        <w:spacing w:after="120"/>
        <w:jc w:val="both"/>
      </w:pPr>
      <w:r>
        <w:rPr>
          <w:rFonts w:ascii="Arial" w:cs="Arial" w:eastAsia="Arial" w:hAnsi="Arial"/>
          <w:sz w:val="24"/>
          <w:szCs w:val="24"/>
        </w:rPr>
        <w:t xml:space="preserve">- совместимости с другими информационными ресурсами, имеющими государственное значение, а также информационного взаимодействия с ними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Основные понятия, используемые в методических инструкциях  </w:t>
      </w:r>
    </w:p>
    <w:p>
      <w:pPr>
        <w:spacing w:after="120"/>
        <w:jc w:val="both"/>
      </w:pPr>
      <w:r>
        <w:rPr>
          <w:rFonts w:ascii="Arial" w:cs="Arial" w:eastAsia="Arial" w:hAnsi="Arial"/>
          <w:sz w:val="24"/>
          <w:szCs w:val="24"/>
        </w:rPr>
        <w:t xml:space="preserve">7. В настоящих методических инструкциях используются следующие основные понятия:</w:t>
      </w:r>
    </w:p>
    <w:p>
      <w:pPr>
        <w:spacing w:after="120"/>
        <w:jc w:val="both"/>
      </w:pPr>
      <w:r>
        <w:rPr>
          <w:rFonts w:ascii="Arial" w:cs="Arial" w:eastAsia="Arial" w:hAnsi="Arial"/>
          <w:sz w:val="24"/>
          <w:szCs w:val="24"/>
        </w:rPr>
        <w:t xml:space="preserve">1) уполномоченный государственный орган – государственный орган, в ведомственном или отраслевом подчинении которого функционируют государственные предприятия и учреждения, сводящий данные о результатах учета и инвентаризации по нижестоящим балансодержателям</w:t>
      </w:r>
    </w:p>
    <w:p>
      <w:pPr>
        <w:spacing w:after="120"/>
        <w:jc w:val="both"/>
      </w:pPr>
      <w:r>
        <w:rPr>
          <w:rFonts w:ascii="Arial" w:cs="Arial" w:eastAsia="Arial" w:hAnsi="Arial"/>
          <w:sz w:val="24"/>
          <w:szCs w:val="24"/>
        </w:rPr>
        <w:t xml:space="preserve">2) уполномоченный государственный орган по управлению государственным имуществом – Фонд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3) государственные юридические лица - государственные предприятия и государственные учреждения;</w:t>
      </w:r>
    </w:p>
    <w:p>
      <w:pPr>
        <w:spacing w:after="120"/>
        <w:jc w:val="both"/>
      </w:pPr>
      <w:r>
        <w:rPr>
          <w:rFonts w:ascii="Arial" w:cs="Arial" w:eastAsia="Arial" w:hAnsi="Arial"/>
          <w:sz w:val="24"/>
          <w:szCs w:val="24"/>
        </w:rPr>
        <w:t xml:space="preserve">4) государственное учреждение (или бюджетное учреждение) - государственный орган или учреждение, созданное государственным органом для осуществления управленческих, социально-культурных, научно-технических или иных функций некоммерческого характера, деятельность которого финансируется за счет средств государственного бюджета;</w:t>
      </w:r>
    </w:p>
    <w:p>
      <w:pPr>
        <w:spacing w:after="120"/>
        <w:jc w:val="both"/>
      </w:pPr>
      <w:r>
        <w:rPr>
          <w:rFonts w:ascii="Arial" w:cs="Arial" w:eastAsia="Arial" w:hAnsi="Arial"/>
          <w:sz w:val="24"/>
          <w:szCs w:val="24"/>
        </w:rPr>
        <w:t xml:space="preserve">5) право оперативного управления государственного учреждения или предприятия (далее - право оперативного управления) - вещное право государственного учреждения или  предприятия, получившего имущество от государства как собственника и осуществляющего в пределах, установленных Гражданским кодексом Кыргызской Республики и иными законами Кыргызской Республики, в соответствии с уставными целями своей деятельности, заданиями уполномоченных государственных органов и назначением имущества права владения, пользования и распоряжения этим имуществом;</w:t>
      </w:r>
    </w:p>
    <w:p>
      <w:pPr>
        <w:spacing w:after="120"/>
        <w:jc w:val="both"/>
      </w:pPr>
      <w:r>
        <w:rPr>
          <w:rFonts w:ascii="Arial" w:cs="Arial" w:eastAsia="Arial" w:hAnsi="Arial"/>
          <w:sz w:val="24"/>
          <w:szCs w:val="24"/>
        </w:rPr>
        <w:t xml:space="preserve"> 6) право хозяйственного ведения - вещное право государственного предприятия на праве хозяйственного ведения, получившего имущество от государства как собственника и осуществляющего в пределах, установленных Гражданским кодексом Кыргызской Республики и иными законами Кыргызской Республики права владения, пользования и распоряжения этим имуществом;</w:t>
      </w:r>
    </w:p>
    <w:p>
      <w:pPr>
        <w:spacing w:after="120"/>
        <w:jc w:val="both"/>
      </w:pPr>
      <w:r>
        <w:rPr>
          <w:rFonts w:ascii="Arial" w:cs="Arial" w:eastAsia="Arial" w:hAnsi="Arial"/>
          <w:sz w:val="24"/>
          <w:szCs w:val="24"/>
        </w:rPr>
        <w:t xml:space="preserve">7) учет государственного имущества - упорядоченная система сбора и обобщения информации об объектах учета для формирования единого реестра государственного имущества;</w:t>
      </w:r>
    </w:p>
    <w:p>
      <w:pPr>
        <w:spacing w:after="120"/>
        <w:jc w:val="both"/>
      </w:pPr>
      <w:r>
        <w:rPr>
          <w:rFonts w:ascii="Arial" w:cs="Arial" w:eastAsia="Arial" w:hAnsi="Arial"/>
          <w:sz w:val="24"/>
          <w:szCs w:val="24"/>
        </w:rPr>
        <w:t xml:space="preserve">8) единый реестр государственного имущества – единая информационная автоматизированная система учета государственного имущества, за исключением имущества, находящегося в оперативном управлении государственных органов в сфере обороны, обеспечения национальной безопасности и правопорядка;</w:t>
      </w:r>
    </w:p>
    <w:p>
      <w:pPr>
        <w:spacing w:after="120"/>
        <w:jc w:val="both"/>
      </w:pPr>
      <w:r>
        <w:rPr>
          <w:rFonts w:ascii="Arial" w:cs="Arial" w:eastAsia="Arial" w:hAnsi="Arial"/>
          <w:sz w:val="24"/>
          <w:szCs w:val="24"/>
        </w:rPr>
        <w:t xml:space="preserve">9) объект учета - государственное имущество, учитываемое в едином реестре государственного имущества;</w:t>
      </w:r>
    </w:p>
    <w:p>
      <w:pPr>
        <w:spacing w:after="120"/>
        <w:jc w:val="both"/>
      </w:pPr>
      <w:r>
        <w:rPr>
          <w:rFonts w:ascii="Arial" w:cs="Arial" w:eastAsia="Arial" w:hAnsi="Arial"/>
          <w:sz w:val="24"/>
          <w:szCs w:val="24"/>
        </w:rPr>
        <w:t xml:space="preserve">10) актуализация сведений об объектах учета – запись (регистрация), осуществляемая путем обновления, дополнения, изменения и иных действий, позволяющих отразить в данных учета фактическую, объективную и адекватную информацию о составе государственного имущества;</w:t>
      </w:r>
    </w:p>
    <w:p>
      <w:pPr>
        <w:spacing w:after="120"/>
        <w:jc w:val="both"/>
      </w:pPr>
      <w:r>
        <w:rPr>
          <w:rFonts w:ascii="Arial" w:cs="Arial" w:eastAsia="Arial" w:hAnsi="Arial"/>
          <w:sz w:val="24"/>
          <w:szCs w:val="24"/>
        </w:rPr>
        <w:t xml:space="preserve">11) правоустанавливающий документ - документ, устанавливающий, передающий, ограничивающий или прекращающий право собственности и другие права на единицу имущества (закон, решение соответствующего компетентного органа, договор, решение суда и др.);</w:t>
      </w:r>
    </w:p>
    <w:p>
      <w:pPr>
        <w:spacing w:after="120"/>
        <w:jc w:val="both"/>
      </w:pPr>
      <w:r>
        <w:rPr>
          <w:rFonts w:ascii="Arial" w:cs="Arial" w:eastAsia="Arial" w:hAnsi="Arial"/>
          <w:sz w:val="24"/>
          <w:szCs w:val="24"/>
        </w:rPr>
        <w:t xml:space="preserve">12) классификатор государственного имущества (далее – Классификатор) – систематизированный перечень объектов государственного имущества, всем элементам которого присвоен определенный код;</w:t>
      </w:r>
    </w:p>
    <w:p>
      <w:pPr>
        <w:spacing w:after="120"/>
        <w:jc w:val="both"/>
      </w:pPr>
      <w:r>
        <w:rPr>
          <w:rFonts w:ascii="Arial" w:cs="Arial" w:eastAsia="Arial" w:hAnsi="Arial"/>
          <w:sz w:val="24"/>
          <w:szCs w:val="24"/>
        </w:rPr>
        <w:t xml:space="preserve">13) запись - действие, регистрируемое в реестре и направленное на изменение данных по объектам учета;</w:t>
      </w:r>
    </w:p>
    <w:p>
      <w:pPr>
        <w:spacing w:after="120"/>
        <w:jc w:val="both"/>
      </w:pPr>
      <w:r>
        <w:rPr>
          <w:rFonts w:ascii="Arial" w:cs="Arial" w:eastAsia="Arial" w:hAnsi="Arial"/>
          <w:sz w:val="24"/>
          <w:szCs w:val="24"/>
        </w:rPr>
        <w:t xml:space="preserve">14) исполнитель - работник уполномоченного государственного органа, осуществляющий исполнение записей в реестре, за исключением приказов по постановке на баланс имущества;</w:t>
      </w:r>
    </w:p>
    <w:p>
      <w:pPr>
        <w:spacing w:after="120"/>
        <w:jc w:val="both"/>
      </w:pPr>
      <w:r>
        <w:rPr>
          <w:rFonts w:ascii="Arial" w:cs="Arial" w:eastAsia="Arial" w:hAnsi="Arial"/>
          <w:sz w:val="24"/>
          <w:szCs w:val="24"/>
        </w:rPr>
        <w:t xml:space="preserve">15) веб-портал реестра - интернет-ресурс, размещенный в сети Интернет по адресу ______________ , предоставляющий единую точку доступа к данным реестра;</w:t>
      </w:r>
    </w:p>
    <w:p>
      <w:pPr>
        <w:spacing w:after="120"/>
        <w:jc w:val="both"/>
      </w:pPr>
      <w:r>
        <w:rPr>
          <w:rFonts w:ascii="Arial" w:cs="Arial" w:eastAsia="Arial" w:hAnsi="Arial"/>
          <w:sz w:val="24"/>
          <w:szCs w:val="24"/>
        </w:rPr>
        <w:t xml:space="preserve">16) регистратор – уполномоченное лицо балансодержателя, наделенное правом регистрации записей в реестре с использованием электронной цифровой подписи;</w:t>
      </w:r>
    </w:p>
    <w:p>
      <w:pPr>
        <w:spacing w:after="120"/>
        <w:jc w:val="both"/>
      </w:pPr>
      <w:r>
        <w:rPr>
          <w:rFonts w:ascii="Arial" w:cs="Arial" w:eastAsia="Arial" w:hAnsi="Arial"/>
          <w:sz w:val="24"/>
          <w:szCs w:val="24"/>
        </w:rPr>
        <w:t xml:space="preserve">17) балансодержатель – государственные организации, учреждения и предприятия с государственной формой собственности, в том числе государственные органы, в хозяйственном ведении или оперативном управлении которых находится государственное имущество;</w:t>
      </w:r>
    </w:p>
    <w:p>
      <w:pPr>
        <w:spacing w:after="120"/>
        <w:jc w:val="both"/>
      </w:pPr>
      <w:r>
        <w:rPr>
          <w:rFonts w:ascii="Arial" w:cs="Arial" w:eastAsia="Arial" w:hAnsi="Arial"/>
          <w:sz w:val="24"/>
          <w:szCs w:val="24"/>
        </w:rPr>
        <w:t xml:space="preserve">18) организации - государственные предприятия и учреждения, за которыми закреплено государственное имущество, а также юридические лица с участием государства в уставном капитале;</w:t>
      </w:r>
    </w:p>
    <w:p>
      <w:pPr>
        <w:spacing w:after="120"/>
        <w:jc w:val="both"/>
      </w:pPr>
      <w:r>
        <w:rPr>
          <w:rFonts w:ascii="Arial" w:cs="Arial" w:eastAsia="Arial" w:hAnsi="Arial"/>
          <w:sz w:val="24"/>
          <w:szCs w:val="24"/>
        </w:rPr>
        <w:t xml:space="preserve">17)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Объекты учета в ЕРГИ</w:t>
      </w:r>
    </w:p>
    <w:p>
      <w:pPr>
        <w:spacing w:after="120"/>
        <w:jc w:val="both"/>
      </w:pPr>
      <w:r>
        <w:rPr>
          <w:rFonts w:ascii="Arial" w:cs="Arial" w:eastAsia="Arial" w:hAnsi="Arial"/>
          <w:sz w:val="24"/>
          <w:szCs w:val="24"/>
        </w:rPr>
        <w:t xml:space="preserve">8. Объектами учета в ЕРГИ (далее - объекты учета) являются:</w:t>
      </w:r>
    </w:p>
    <w:p>
      <w:pPr>
        <w:spacing w:after="120"/>
        <w:jc w:val="both"/>
      </w:pPr>
      <w:r>
        <w:rPr>
          <w:rFonts w:ascii="Arial" w:cs="Arial" w:eastAsia="Arial" w:hAnsi="Arial"/>
          <w:sz w:val="24"/>
          <w:szCs w:val="24"/>
        </w:rPr>
        <w:t xml:space="preserve">1) государственные предприятия и имущество, закрепленное за ними на праве хозяйственного ведения и оперативного управления, а также государственные учреждения и имущество, закрепленное за ними на праве оперативного управления;</w:t>
      </w:r>
    </w:p>
    <w:p>
      <w:pPr>
        <w:spacing w:after="120"/>
        <w:jc w:val="both"/>
      </w:pPr>
      <w:r>
        <w:rPr>
          <w:rFonts w:ascii="Arial" w:cs="Arial" w:eastAsia="Arial" w:hAnsi="Arial"/>
          <w:sz w:val="24"/>
          <w:szCs w:val="24"/>
        </w:rPr>
        <w:t xml:space="preserve">2) недвижимое имущество (здания, сооружения и земельные участки), находящиеся в государственной собственности;</w:t>
      </w:r>
    </w:p>
    <w:p>
      <w:pPr>
        <w:spacing w:after="120"/>
        <w:jc w:val="both"/>
      </w:pPr>
      <w:r>
        <w:rPr>
          <w:rFonts w:ascii="Arial" w:cs="Arial" w:eastAsia="Arial" w:hAnsi="Arial"/>
          <w:sz w:val="24"/>
          <w:szCs w:val="24"/>
        </w:rPr>
        <w:t xml:space="preserve">3) принадлежащие государству акции акционерных обществ и доли участия в уставном капитале обществ с ограниченной ответственностью;</w:t>
      </w:r>
    </w:p>
    <w:p>
      <w:pPr>
        <w:spacing w:after="120"/>
        <w:jc w:val="both"/>
      </w:pPr>
      <w:r>
        <w:rPr>
          <w:rFonts w:ascii="Arial" w:cs="Arial" w:eastAsia="Arial" w:hAnsi="Arial"/>
          <w:sz w:val="24"/>
          <w:szCs w:val="24"/>
        </w:rPr>
        <w:t xml:space="preserve">4) государственное имущество, переданное физическим и юридическим лицам в доверительное и оперативное управление, аренду и безвозмездное пользование;</w:t>
      </w:r>
    </w:p>
    <w:p>
      <w:pPr>
        <w:spacing w:after="120"/>
        <w:jc w:val="both"/>
      </w:pPr>
      <w:r>
        <w:rPr>
          <w:rFonts w:ascii="Arial" w:cs="Arial" w:eastAsia="Arial" w:hAnsi="Arial"/>
          <w:sz w:val="24"/>
          <w:szCs w:val="24"/>
        </w:rPr>
        <w:t xml:space="preserve">5) объекты государственной собственности (детские дошкольные учреждения, общежития, аптеки, оздоровительно-лечебные учреждения и другие объекты социальной инфраструктуры), находящиеся на ответственном хранении (в пользовании) приватизированных государственных предприятий;</w:t>
      </w:r>
    </w:p>
    <w:p>
      <w:pPr>
        <w:spacing w:after="120"/>
        <w:jc w:val="both"/>
      </w:pPr>
      <w:r>
        <w:rPr>
          <w:rFonts w:ascii="Arial" w:cs="Arial" w:eastAsia="Arial" w:hAnsi="Arial"/>
          <w:sz w:val="24"/>
          <w:szCs w:val="24"/>
        </w:rPr>
        <w:t xml:space="preserve">6) продукты (объекты) интеллектуальной собственности, принадлежащие государству;</w:t>
      </w:r>
    </w:p>
    <w:p>
      <w:pPr>
        <w:spacing w:after="120"/>
        <w:jc w:val="both"/>
      </w:pPr>
      <w:r>
        <w:rPr>
          <w:rFonts w:ascii="Arial" w:cs="Arial" w:eastAsia="Arial" w:hAnsi="Arial"/>
          <w:sz w:val="24"/>
          <w:szCs w:val="24"/>
        </w:rPr>
        <w:t xml:space="preserve">7) объекты инфраструктуры - дороги государственного значения, магистральные железные дороги, гидротехнические сооружения, искусственные водоемы и другие инженерные сооружения, находящиеся в государственной собственности;</w:t>
      </w:r>
    </w:p>
    <w:p>
      <w:pPr>
        <w:spacing w:after="120"/>
        <w:jc w:val="both"/>
      </w:pPr>
      <w:r>
        <w:rPr>
          <w:rFonts w:ascii="Arial" w:cs="Arial" w:eastAsia="Arial" w:hAnsi="Arial"/>
          <w:sz w:val="24"/>
          <w:szCs w:val="24"/>
        </w:rPr>
        <w:t xml:space="preserve">8) автомобильные и железнодорожные транспортные средства, воздушные и водные суда, зарегистрированные за государственными юридическими лицами, их филиалами и представительствами;</w:t>
      </w:r>
    </w:p>
    <w:p>
      <w:pPr>
        <w:spacing w:after="120"/>
        <w:jc w:val="both"/>
      </w:pPr>
      <w:r>
        <w:rPr>
          <w:rFonts w:ascii="Arial" w:cs="Arial" w:eastAsia="Arial" w:hAnsi="Arial"/>
          <w:sz w:val="24"/>
          <w:szCs w:val="24"/>
        </w:rPr>
        <w:t xml:space="preserve">9) объекты незавершенного строительства, принадлежащие государству; </w:t>
      </w:r>
    </w:p>
    <w:p>
      <w:pPr>
        <w:spacing w:after="120"/>
        <w:jc w:val="both"/>
      </w:pPr>
      <w:r>
        <w:rPr>
          <w:rFonts w:ascii="Arial" w:cs="Arial" w:eastAsia="Arial" w:hAnsi="Arial"/>
          <w:sz w:val="24"/>
          <w:szCs w:val="24"/>
        </w:rPr>
        <w:t xml:space="preserve">10) государственное имущество, находящееся за пределами Кыргызской Республики (в том числе государственное имущество, переданное в пользование дипломатическим представительствам и консульским учреждениям);  </w:t>
      </w:r>
    </w:p>
    <w:p>
      <w:pPr>
        <w:spacing w:after="120"/>
        <w:jc w:val="both"/>
      </w:pPr>
      <w:r>
        <w:rPr>
          <w:rFonts w:ascii="Arial" w:cs="Arial" w:eastAsia="Arial" w:hAnsi="Arial"/>
          <w:sz w:val="24"/>
          <w:szCs w:val="24"/>
        </w:rPr>
        <w:t xml:space="preserve">11) иные виды (категории) государственного имущества, определенные правилами ведения единого реестра государственного имущества, утверждаемыми уполномоченным органом Кыргызской Республики.</w:t>
      </w:r>
    </w:p>
    <w:p>
      <w:pPr>
        <w:spacing w:after="120"/>
        <w:jc w:val="both"/>
      </w:pPr>
      <w:r>
        <w:rPr>
          <w:rFonts w:ascii="Arial" w:cs="Arial" w:eastAsia="Arial" w:hAnsi="Arial"/>
          <w:sz w:val="24"/>
          <w:szCs w:val="24"/>
        </w:rPr>
        <w:t xml:space="preserve">9. Объекты учета подразделяются на закрепляемые и не закрепляемые за государственными предприятиями.</w:t>
      </w:r>
    </w:p>
    <w:p>
      <w:pPr>
        <w:spacing w:after="120"/>
        <w:jc w:val="both"/>
      </w:pPr>
      <w:r>
        <w:rPr>
          <w:rFonts w:ascii="Arial" w:cs="Arial" w:eastAsia="Arial" w:hAnsi="Arial"/>
          <w:sz w:val="24"/>
          <w:szCs w:val="24"/>
        </w:rPr>
        <w:t xml:space="preserve">К не закрепляемым объектам учета относятся: земельные участки, находящиеся в землепользовании, принадлежащие государству, акции акционерных обществ и доли участия в уставном капитале обществ с ограниченной ответственностью, государственное имущество, переданное другим организациям в пользование или вложенное в уставной капитал организаций.</w:t>
      </w:r>
    </w:p>
    <w:p>
      <w:pPr>
        <w:spacing w:after="120"/>
        <w:jc w:val="both"/>
      </w:pPr>
      <w:r>
        <w:rPr>
          <w:rFonts w:ascii="Arial" w:cs="Arial" w:eastAsia="Arial" w:hAnsi="Arial"/>
          <w:sz w:val="24"/>
          <w:szCs w:val="24"/>
        </w:rPr>
        <w:t xml:space="preserve">К закрепляемым объектам учета относится государственное имущество, закрепленное за государственными предприятиям - долгосрочные активы, включающие в себя основные средства, инвестиционную недвижимость, биологические активы, нематериальные активы, незавершенное строительство и долгосрочные активы, предназначенные для продажи.</w:t>
      </w:r>
    </w:p>
    <w:p>
      <w:pPr>
        <w:spacing w:after="120"/>
        <w:jc w:val="both"/>
      </w:pPr>
      <w:r>
        <w:rPr>
          <w:rFonts w:ascii="Arial" w:cs="Arial" w:eastAsia="Arial" w:hAnsi="Arial"/>
          <w:sz w:val="24"/>
          <w:szCs w:val="24"/>
        </w:rPr>
        <w:t xml:space="preserve">10. Единый централизованный учет государственного имущества в реестре осуществляет уполномоченный государственный орган по управлению государственным имуществом.</w:t>
      </w:r>
    </w:p>
    <w:p>
      <w:pPr>
        <w:spacing w:after="120"/>
        <w:jc w:val="both"/>
      </w:pPr>
      <w:r>
        <w:rPr>
          <w:rFonts w:ascii="Arial" w:cs="Arial" w:eastAsia="Arial" w:hAnsi="Arial"/>
          <w:sz w:val="24"/>
          <w:szCs w:val="24"/>
        </w:rPr>
        <w:t xml:space="preserve">Учет в реестре закрепляемых объектов учета по государственному имуществу организует уполномоченный государственный орган.</w:t>
      </w:r>
    </w:p>
    <w:p>
      <w:pPr>
        <w:spacing w:after="120"/>
        <w:jc w:val="both"/>
      </w:pPr>
      <w:r>
        <w:rPr>
          <w:rFonts w:ascii="Arial" w:cs="Arial" w:eastAsia="Arial" w:hAnsi="Arial"/>
          <w:sz w:val="24"/>
          <w:szCs w:val="24"/>
        </w:rPr>
        <w:t xml:space="preserve">Уполномоченный государственный  орган по государственному имуществу организует учет отнесенных к государственной собственности акций акционерных обществ и долей участия в уставном капитале обществ с ограниченной ответственностью, а также объектов недвижимости, находящихся за рубежом, на основании сведений уполномоченных государственных органов соответствующей отрасли.</w:t>
      </w:r>
    </w:p>
    <w:p>
      <w:pPr>
        <w:spacing w:after="120"/>
        <w:jc w:val="both"/>
      </w:pPr>
      <w:r>
        <w:rPr>
          <w:rFonts w:ascii="Arial" w:cs="Arial" w:eastAsia="Arial" w:hAnsi="Arial"/>
          <w:sz w:val="24"/>
          <w:szCs w:val="24"/>
        </w:rPr>
        <w:t xml:space="preserve">11. Государственные органы представляют сведения об объектах учета в реестр и (или) организуют доступ к ведомственным информационным системам для интеграции с реестром по объектам учета, в частности:</w:t>
      </w:r>
    </w:p>
    <w:p>
      <w:pPr>
        <w:spacing w:after="120"/>
        <w:jc w:val="both"/>
      </w:pPr>
      <w:r>
        <w:rPr>
          <w:rFonts w:ascii="Arial" w:cs="Arial" w:eastAsia="Arial" w:hAnsi="Arial"/>
          <w:sz w:val="24"/>
          <w:szCs w:val="24"/>
        </w:rPr>
        <w:t xml:space="preserve">1) уполномоченный государственный орган, осуществляющий регулирование в сфере обеспечения поступлений налогов и других обязательных платежей в бюджет - в отношении государственных предприятий, их филиалов и представительств;</w:t>
      </w:r>
    </w:p>
    <w:p>
      <w:pPr>
        <w:spacing w:after="120"/>
        <w:jc w:val="both"/>
      </w:pPr>
      <w:r>
        <w:rPr>
          <w:rFonts w:ascii="Arial" w:cs="Arial" w:eastAsia="Arial" w:hAnsi="Arial"/>
          <w:sz w:val="24"/>
          <w:szCs w:val="24"/>
        </w:rPr>
        <w:t xml:space="preserve">2) уполномоченный государственный орган, осуществляющий реализацию государственной политики и государственное регулирование деятельности в сфере государственной регистрации и государственного технического обследования недвижимого имущества - в отношении объектов недвижимости, зарегистрированных за государственными юридическими лицами, их филиалами и представительствами;</w:t>
      </w:r>
    </w:p>
    <w:p>
      <w:pPr>
        <w:spacing w:after="120"/>
        <w:jc w:val="both"/>
      </w:pPr>
      <w:r>
        <w:rPr>
          <w:rFonts w:ascii="Arial" w:cs="Arial" w:eastAsia="Arial" w:hAnsi="Arial"/>
          <w:sz w:val="24"/>
          <w:szCs w:val="24"/>
        </w:rPr>
        <w:t xml:space="preserve">3) уполномоченный государственный орган, осуществляющий регулирование в области земельных отношений - в отношении государственных земельных участков, находящихся в землепользовании;</w:t>
      </w:r>
    </w:p>
    <w:p>
      <w:pPr>
        <w:spacing w:after="120"/>
        <w:jc w:val="both"/>
      </w:pPr>
      <w:r>
        <w:rPr>
          <w:rFonts w:ascii="Arial" w:cs="Arial" w:eastAsia="Arial" w:hAnsi="Arial"/>
          <w:sz w:val="24"/>
          <w:szCs w:val="24"/>
        </w:rPr>
        <w:t xml:space="preserve">4) уполномоченный государственный орган, осуществляющий регистрацию юридических лиц - в отношении государственных предприятий, акционерных обществ и обществ с ограниченной ответственностью, а также некоммерческих организаций с участием государства;</w:t>
      </w:r>
    </w:p>
    <w:p>
      <w:pPr>
        <w:spacing w:after="120"/>
        <w:jc w:val="both"/>
      </w:pPr>
      <w:r>
        <w:rPr>
          <w:rFonts w:ascii="Arial" w:cs="Arial" w:eastAsia="Arial" w:hAnsi="Arial"/>
          <w:sz w:val="24"/>
          <w:szCs w:val="24"/>
        </w:rPr>
        <w:t xml:space="preserve">5) уполномоченный государственный орган, осуществляющий реализацию</w:t>
      </w:r>
    </w:p>
    <w:p>
      <w:pPr>
        <w:spacing w:after="120"/>
        <w:jc w:val="both"/>
      </w:pPr>
      <w:r>
        <w:rPr>
          <w:rFonts w:ascii="Arial" w:cs="Arial" w:eastAsia="Arial" w:hAnsi="Arial"/>
          <w:sz w:val="24"/>
          <w:szCs w:val="24"/>
        </w:rPr>
        <w:t xml:space="preserve">государственной политики в области культуры - в отношении объектов</w:t>
      </w:r>
    </w:p>
    <w:p>
      <w:pPr>
        <w:spacing w:after="120"/>
        <w:jc w:val="both"/>
      </w:pPr>
      <w:r>
        <w:rPr>
          <w:rFonts w:ascii="Arial" w:cs="Arial" w:eastAsia="Arial" w:hAnsi="Arial"/>
          <w:sz w:val="24"/>
          <w:szCs w:val="24"/>
        </w:rPr>
        <w:t xml:space="preserve">историко-культурного наследия, принадлежащих государству;</w:t>
      </w:r>
    </w:p>
    <w:p>
      <w:pPr>
        <w:spacing w:after="120"/>
        <w:jc w:val="both"/>
      </w:pPr>
      <w:r>
        <w:rPr>
          <w:rFonts w:ascii="Arial" w:cs="Arial" w:eastAsia="Arial" w:hAnsi="Arial"/>
          <w:sz w:val="24"/>
          <w:szCs w:val="24"/>
        </w:rPr>
        <w:t xml:space="preserve">6) уполномоченный государственный орган, осуществляющий государственную политику в области защиты прав интеллектуальной собственности - в отношении объектов интеллектуальной собственности, принадлежащих государству;</w:t>
      </w:r>
    </w:p>
    <w:p>
      <w:pPr>
        <w:spacing w:after="120"/>
        <w:jc w:val="both"/>
      </w:pPr>
      <w:r>
        <w:rPr>
          <w:rFonts w:ascii="Arial" w:cs="Arial" w:eastAsia="Arial" w:hAnsi="Arial"/>
          <w:sz w:val="24"/>
          <w:szCs w:val="24"/>
        </w:rPr>
        <w:t xml:space="preserve">7) уполномоченный государственный орган, осуществляющий руководство в сферах транспорта и коммуникаций, а также в пределах, предусмотренных законодательством межотраслевую координацию - в отношении судов и плавучих средств, зарегистрированных за государственными предприятиями, их филиалами и представительствами;</w:t>
      </w:r>
    </w:p>
    <w:p>
      <w:pPr>
        <w:spacing w:after="120"/>
        <w:jc w:val="both"/>
      </w:pPr>
      <w:r>
        <w:rPr>
          <w:rFonts w:ascii="Arial" w:cs="Arial" w:eastAsia="Arial" w:hAnsi="Arial"/>
          <w:sz w:val="24"/>
          <w:szCs w:val="24"/>
        </w:rPr>
        <w:t xml:space="preserve">8) уполномоченный государственный орган, осуществляющий руководство в пределах своей компетенции и межотраслевую координацию в сфере обеспечения безопасности дорожного движения - в отношении транспортных средств, зарегистрированных за государственными предприятиями, их филиалами и представительствами;</w:t>
      </w:r>
    </w:p>
    <w:p>
      <w:pPr>
        <w:spacing w:after="120"/>
        <w:jc w:val="both"/>
      </w:pPr>
      <w:r>
        <w:rPr>
          <w:rFonts w:ascii="Arial" w:cs="Arial" w:eastAsia="Arial" w:hAnsi="Arial"/>
          <w:sz w:val="24"/>
          <w:szCs w:val="24"/>
        </w:rPr>
        <w:t xml:space="preserve">9) уполномоченный государственный орган, осуществляющий регулирование деятельности в сфере бухгалтерского учета и финансовой отчетности - в отношении годовой финансовой отчетности государственных юридических лиц и организаций.</w:t>
      </w:r>
    </w:p>
    <w:p>
      <w:pPr>
        <w:spacing w:after="120"/>
        <w:jc w:val="both"/>
      </w:pPr>
      <w:r>
        <w:rPr>
          <w:rFonts w:ascii="Arial" w:cs="Arial" w:eastAsia="Arial" w:hAnsi="Arial"/>
          <w:sz w:val="24"/>
          <w:szCs w:val="24"/>
        </w:rPr>
        <w:t xml:space="preserve">12. Уполномоченный государственный орган по управлению государственным имуществом в пределах своей компетенции:</w:t>
      </w:r>
    </w:p>
    <w:p>
      <w:pPr>
        <w:spacing w:after="120"/>
        <w:jc w:val="both"/>
      </w:pPr>
      <w:r>
        <w:rPr>
          <w:rFonts w:ascii="Arial" w:cs="Arial" w:eastAsia="Arial" w:hAnsi="Arial"/>
          <w:sz w:val="24"/>
          <w:szCs w:val="24"/>
        </w:rPr>
        <w:t xml:space="preserve">1) координирует и организует работу по обеспечению единого учета государственного имущества в реестре;</w:t>
      </w:r>
    </w:p>
    <w:p>
      <w:pPr>
        <w:spacing w:after="120"/>
        <w:jc w:val="both"/>
      </w:pPr>
      <w:r>
        <w:rPr>
          <w:rFonts w:ascii="Arial" w:cs="Arial" w:eastAsia="Arial" w:hAnsi="Arial"/>
          <w:sz w:val="24"/>
          <w:szCs w:val="24"/>
        </w:rPr>
        <w:t xml:space="preserve">2) ведет реестр и представляет информацию пользователям реестра в порядке, установленном настоящими Правилами;</w:t>
      </w:r>
    </w:p>
    <w:p>
      <w:pPr>
        <w:spacing w:after="120"/>
        <w:jc w:val="both"/>
      </w:pPr>
      <w:r>
        <w:rPr>
          <w:rFonts w:ascii="Arial" w:cs="Arial" w:eastAsia="Arial" w:hAnsi="Arial"/>
          <w:sz w:val="24"/>
          <w:szCs w:val="24"/>
        </w:rPr>
        <w:t xml:space="preserve">3) формирует состав дополнительных сведений дополнительного подраздела реестра;</w:t>
      </w:r>
    </w:p>
    <w:p>
      <w:pPr>
        <w:spacing w:after="120"/>
        <w:jc w:val="both"/>
      </w:pPr>
      <w:r>
        <w:rPr>
          <w:rFonts w:ascii="Arial" w:cs="Arial" w:eastAsia="Arial" w:hAnsi="Arial"/>
          <w:sz w:val="24"/>
          <w:szCs w:val="24"/>
        </w:rPr>
        <w:t xml:space="preserve">4) принимает решения по организационным вопросам, связанным с поддержкой функционирования реестра.</w:t>
      </w:r>
    </w:p>
    <w:p>
      <w:pPr>
        <w:spacing w:after="120"/>
        <w:jc w:val="both"/>
      </w:pPr>
      <w:r>
        <w:rPr>
          <w:rFonts w:ascii="Arial" w:cs="Arial" w:eastAsia="Arial" w:hAnsi="Arial"/>
          <w:sz w:val="24"/>
          <w:szCs w:val="24"/>
        </w:rPr>
        <w:t xml:space="preserve">1.4. Структура данных реестра</w:t>
      </w:r>
    </w:p>
    <w:p>
      <w:pPr>
        <w:spacing w:after="120"/>
        <w:jc w:val="both"/>
      </w:pPr>
      <w:r>
        <w:rPr>
          <w:rFonts w:ascii="Arial" w:cs="Arial" w:eastAsia="Arial" w:hAnsi="Arial"/>
          <w:sz w:val="24"/>
          <w:szCs w:val="24"/>
        </w:rPr>
        <w:t xml:space="preserve">13. Реестр состоит из двух подразделов: основного и дополнительного.</w:t>
      </w:r>
    </w:p>
    <w:p>
      <w:pPr>
        <w:spacing w:after="120"/>
        <w:jc w:val="both"/>
      </w:pPr>
      <w:r>
        <w:rPr>
          <w:rFonts w:ascii="Arial" w:cs="Arial" w:eastAsia="Arial" w:hAnsi="Arial"/>
          <w:sz w:val="24"/>
          <w:szCs w:val="24"/>
        </w:rPr>
        <w:t xml:space="preserve">14. Основной подраздел содержит:</w:t>
      </w:r>
    </w:p>
    <w:p>
      <w:pPr>
        <w:spacing w:after="120"/>
        <w:jc w:val="both"/>
      </w:pPr>
      <w:r>
        <w:rPr>
          <w:rFonts w:ascii="Arial" w:cs="Arial" w:eastAsia="Arial" w:hAnsi="Arial"/>
          <w:sz w:val="24"/>
          <w:szCs w:val="24"/>
        </w:rPr>
        <w:t xml:space="preserve">1) поименный перечень государственных предприятий, их филиалов и представительств, а также организаций;</w:t>
      </w:r>
    </w:p>
    <w:p>
      <w:pPr>
        <w:spacing w:after="120"/>
        <w:jc w:val="both"/>
      </w:pPr>
      <w:r>
        <w:rPr>
          <w:rFonts w:ascii="Arial" w:cs="Arial" w:eastAsia="Arial" w:hAnsi="Arial"/>
          <w:sz w:val="24"/>
          <w:szCs w:val="24"/>
        </w:rPr>
        <w:t xml:space="preserve">2) сведения о государственном органе, осуществляющем права субъекта права собственности в отношении имущества государственных предприятий и права распоряжения принадлежащими государству акциями и/или долями участия организации;</w:t>
      </w:r>
    </w:p>
    <w:p>
      <w:pPr>
        <w:spacing w:after="120"/>
        <w:jc w:val="both"/>
      </w:pPr>
      <w:r>
        <w:rPr>
          <w:rFonts w:ascii="Arial" w:cs="Arial" w:eastAsia="Arial" w:hAnsi="Arial"/>
          <w:sz w:val="24"/>
          <w:szCs w:val="24"/>
        </w:rPr>
        <w:t xml:space="preserve">3) сведения об уполномоченном государственном органе соответствующей отрасли или об органе местной государственной администрации, финансируемом из местного бюджета, осуществляющем управление организацией и/или государственным предприятием.</w:t>
      </w:r>
    </w:p>
    <w:p>
      <w:pPr>
        <w:spacing w:after="120"/>
        <w:jc w:val="both"/>
      </w:pPr>
      <w:r>
        <w:rPr>
          <w:rFonts w:ascii="Arial" w:cs="Arial" w:eastAsia="Arial" w:hAnsi="Arial"/>
          <w:sz w:val="24"/>
          <w:szCs w:val="24"/>
        </w:rPr>
        <w:t xml:space="preserve">15. В дополнительном подразделе реестра по объекту учета указываются следующие сведения:</w:t>
      </w:r>
    </w:p>
    <w:p>
      <w:pPr>
        <w:spacing w:after="120"/>
        <w:jc w:val="both"/>
      </w:pPr>
      <w:r>
        <w:rPr>
          <w:rFonts w:ascii="Arial" w:cs="Arial" w:eastAsia="Arial" w:hAnsi="Arial"/>
          <w:sz w:val="24"/>
          <w:szCs w:val="24"/>
        </w:rPr>
        <w:t xml:space="preserve">1) описание объекта учета, с указанием его индивидуальных характеристик, позволяющих отличить его от других объектов;</w:t>
      </w:r>
    </w:p>
    <w:p>
      <w:pPr>
        <w:spacing w:after="120"/>
        <w:jc w:val="both"/>
      </w:pPr>
      <w:r>
        <w:rPr>
          <w:rFonts w:ascii="Arial" w:cs="Arial" w:eastAsia="Arial" w:hAnsi="Arial"/>
          <w:sz w:val="24"/>
          <w:szCs w:val="24"/>
        </w:rPr>
        <w:t xml:space="preserve">2) сведения о принадлежности или закреплении объекта учета за определенным государственным юридическим лицом, юридическим лицом с участием государства или негосударственным лицом в соответствии с нормативно-правовым актом (договором о передаче государственного имущества в пользование);</w:t>
      </w:r>
    </w:p>
    <w:p>
      <w:pPr>
        <w:spacing w:after="120"/>
        <w:jc w:val="both"/>
      </w:pPr>
      <w:r>
        <w:rPr>
          <w:rFonts w:ascii="Arial" w:cs="Arial" w:eastAsia="Arial" w:hAnsi="Arial"/>
          <w:sz w:val="24"/>
          <w:szCs w:val="24"/>
        </w:rPr>
        <w:t xml:space="preserve">3) балансовая стоимость объекта учета;</w:t>
      </w:r>
    </w:p>
    <w:p>
      <w:pPr>
        <w:spacing w:after="120"/>
        <w:jc w:val="both"/>
      </w:pPr>
      <w:r>
        <w:rPr>
          <w:rFonts w:ascii="Arial" w:cs="Arial" w:eastAsia="Arial" w:hAnsi="Arial"/>
          <w:sz w:val="24"/>
          <w:szCs w:val="24"/>
        </w:rPr>
        <w:t xml:space="preserve">4) сведения о наличии обременении объекта учета правами третьих лиц и вид обременении;</w:t>
      </w:r>
    </w:p>
    <w:p>
      <w:pPr>
        <w:spacing w:after="120"/>
        <w:jc w:val="both"/>
      </w:pPr>
      <w:r>
        <w:rPr>
          <w:rFonts w:ascii="Arial" w:cs="Arial" w:eastAsia="Arial" w:hAnsi="Arial"/>
          <w:sz w:val="24"/>
          <w:szCs w:val="24"/>
        </w:rPr>
        <w:t xml:space="preserve">5) реквизиты лиц, ответственных за содержание либо сохранность объекта учета;</w:t>
      </w:r>
    </w:p>
    <w:p>
      <w:pPr>
        <w:spacing w:after="120"/>
        <w:jc w:val="both"/>
      </w:pPr>
      <w:r>
        <w:rPr>
          <w:rFonts w:ascii="Arial" w:cs="Arial" w:eastAsia="Arial" w:hAnsi="Arial"/>
          <w:sz w:val="24"/>
          <w:szCs w:val="24"/>
        </w:rPr>
        <w:t xml:space="preserve">6) основания возникновения и прекращения прав на объект учета, а в случаях обязательной регистрации прав на государственное имущество, предусмотренной законами Кыргызской Республики, - сведения о государственной регистрации объекта учета и (или) прав на него.</w:t>
      </w:r>
    </w:p>
    <w:p>
      <w:pPr>
        <w:spacing w:after="120"/>
        <w:jc w:val="both"/>
      </w:pPr>
      <w:r>
        <w:rPr>
          <w:rFonts w:ascii="Arial" w:cs="Arial" w:eastAsia="Arial" w:hAnsi="Arial"/>
          <w:sz w:val="24"/>
          <w:szCs w:val="24"/>
        </w:rPr>
        <w:t xml:space="preserve">7) другие сведения, предусмотренные для отдельных объектов учета соответствующими формами передачи данных в реестр. </w:t>
      </w:r>
    </w:p>
    <w:p>
      <w:pPr>
        <w:spacing w:after="120"/>
        <w:jc w:val="both"/>
      </w:pPr>
      <w:r>
        <w:rPr>
          <w:rFonts w:ascii="Arial" w:cs="Arial" w:eastAsia="Arial" w:hAnsi="Arial"/>
          <w:sz w:val="24"/>
          <w:szCs w:val="24"/>
        </w:rPr>
        <w:t xml:space="preserve">16. В дополнительном подразделе содержатся различные динамические показатели, необходимые для решения государственных задач, в частности:</w:t>
      </w:r>
    </w:p>
    <w:p>
      <w:pPr>
        <w:spacing w:after="120"/>
        <w:jc w:val="both"/>
      </w:pPr>
      <w:r>
        <w:rPr>
          <w:rFonts w:ascii="Arial" w:cs="Arial" w:eastAsia="Arial" w:hAnsi="Arial"/>
          <w:sz w:val="24"/>
          <w:szCs w:val="24"/>
        </w:rPr>
        <w:t xml:space="preserve">1) сведения о государственном имуществе, закрепленном за государственными предприятиями, их филиалами и представительствами;</w:t>
      </w:r>
    </w:p>
    <w:p>
      <w:pPr>
        <w:spacing w:after="120"/>
        <w:jc w:val="both"/>
      </w:pPr>
      <w:r>
        <w:rPr>
          <w:rFonts w:ascii="Arial" w:cs="Arial" w:eastAsia="Arial" w:hAnsi="Arial"/>
          <w:sz w:val="24"/>
          <w:szCs w:val="24"/>
        </w:rPr>
        <w:t xml:space="preserve">2) сведения о не закрепляемых объектах учета;</w:t>
      </w:r>
    </w:p>
    <w:p>
      <w:pPr>
        <w:spacing w:after="120"/>
        <w:jc w:val="both"/>
      </w:pPr>
      <w:r>
        <w:rPr>
          <w:rFonts w:ascii="Arial" w:cs="Arial" w:eastAsia="Arial" w:hAnsi="Arial"/>
          <w:sz w:val="24"/>
          <w:szCs w:val="24"/>
        </w:rPr>
        <w:t xml:space="preserve">3) стратегии развития акционерных обществ, акционером которых является государство, планы развития государственных предприятий, контролируемых государством акционерных обществ и обществ с ограниченной ответственностью, а также мониторинг и оценка реализации стратегий и планов и отчеты об их исполнении;</w:t>
      </w:r>
    </w:p>
    <w:p>
      <w:pPr>
        <w:spacing w:after="120"/>
        <w:jc w:val="both"/>
      </w:pPr>
      <w:r>
        <w:rPr>
          <w:rFonts w:ascii="Arial" w:cs="Arial" w:eastAsia="Arial" w:hAnsi="Arial"/>
          <w:sz w:val="24"/>
          <w:szCs w:val="24"/>
        </w:rPr>
        <w:t xml:space="preserve">4) сведения о субъектах квазигосударственного сектора;</w:t>
      </w:r>
    </w:p>
    <w:p>
      <w:pPr>
        <w:spacing w:after="120"/>
        <w:jc w:val="both"/>
      </w:pPr>
      <w:r>
        <w:rPr>
          <w:rFonts w:ascii="Arial" w:cs="Arial" w:eastAsia="Arial" w:hAnsi="Arial"/>
          <w:sz w:val="24"/>
          <w:szCs w:val="24"/>
        </w:rPr>
        <w:t xml:space="preserve">5) результаты мониторинга эффективности управления государственным имуществом, в том числе государственными предприятиями и юридическими лицами с участием государства;</w:t>
      </w:r>
    </w:p>
    <w:p>
      <w:pPr>
        <w:spacing w:after="120"/>
        <w:jc w:val="both"/>
      </w:pPr>
      <w:r>
        <w:rPr>
          <w:rFonts w:ascii="Arial" w:cs="Arial" w:eastAsia="Arial" w:hAnsi="Arial"/>
          <w:sz w:val="24"/>
          <w:szCs w:val="24"/>
        </w:rPr>
        <w:t xml:space="preserve">6) информация по инвентаризации, паспортизации и переоценке имущества, закрепленного за государственными предприятиями, в том числе о потребности юридических лиц в площадях, по занимаемым площадям зданий или помещений государственными предприятиями;</w:t>
      </w:r>
    </w:p>
    <w:p>
      <w:pPr>
        <w:spacing w:after="120"/>
        <w:jc w:val="both"/>
      </w:pPr>
      <w:r>
        <w:rPr>
          <w:rFonts w:ascii="Arial" w:cs="Arial" w:eastAsia="Arial" w:hAnsi="Arial"/>
          <w:sz w:val="24"/>
          <w:szCs w:val="24"/>
        </w:rPr>
        <w:t xml:space="preserve">7) сведения об объектах учета, предлагаемых для передачи в имущественный наем (аренду) или доверительное (оперативное) управление;</w:t>
      </w:r>
    </w:p>
    <w:p>
      <w:pPr>
        <w:spacing w:after="120"/>
        <w:jc w:val="both"/>
      </w:pPr>
      <w:r>
        <w:rPr>
          <w:rFonts w:ascii="Arial" w:cs="Arial" w:eastAsia="Arial" w:hAnsi="Arial"/>
          <w:sz w:val="24"/>
          <w:szCs w:val="24"/>
        </w:rPr>
        <w:t xml:space="preserve">8) сведения по заключенным договорам имущественного найма (аренды) и доверительного (оперативного) управления, в частности по условиям договора, начислениям по такому договору, пене и перечисленным платежам в бюджет;</w:t>
      </w:r>
    </w:p>
    <w:p>
      <w:pPr>
        <w:spacing w:after="120"/>
        <w:jc w:val="both"/>
      </w:pPr>
      <w:r>
        <w:rPr>
          <w:rFonts w:ascii="Arial" w:cs="Arial" w:eastAsia="Arial" w:hAnsi="Arial"/>
          <w:sz w:val="24"/>
          <w:szCs w:val="24"/>
        </w:rPr>
        <w:t xml:space="preserve">9) информация и материалы о государственном имуществе, включенном в график выставления на торги объектов государственной собственности;</w:t>
      </w:r>
    </w:p>
    <w:p>
      <w:pPr>
        <w:spacing w:after="120"/>
        <w:jc w:val="both"/>
      </w:pPr>
      <w:r>
        <w:rPr>
          <w:rFonts w:ascii="Arial" w:cs="Arial" w:eastAsia="Arial" w:hAnsi="Arial"/>
          <w:sz w:val="24"/>
          <w:szCs w:val="24"/>
        </w:rPr>
        <w:t xml:space="preserve">10) сведения по заключенным договорам концессии по объектам концессии, относящимся к государственному имуществу;</w:t>
      </w:r>
    </w:p>
    <w:p>
      <w:pPr>
        <w:spacing w:after="120"/>
        <w:jc w:val="both"/>
      </w:pPr>
      <w:r>
        <w:rPr>
          <w:rFonts w:ascii="Arial" w:cs="Arial" w:eastAsia="Arial" w:hAnsi="Arial"/>
          <w:sz w:val="24"/>
          <w:szCs w:val="24"/>
        </w:rPr>
        <w:t xml:space="preserve">11) сведения по заключенным договорам дарения по приобретению государством прав на имущество, относящимся к государственному имуществу;</w:t>
      </w:r>
    </w:p>
    <w:p>
      <w:pPr>
        <w:spacing w:after="120"/>
        <w:jc w:val="both"/>
      </w:pPr>
      <w:r>
        <w:rPr>
          <w:rFonts w:ascii="Arial" w:cs="Arial" w:eastAsia="Arial" w:hAnsi="Arial"/>
          <w:sz w:val="24"/>
          <w:szCs w:val="24"/>
        </w:rPr>
        <w:t xml:space="preserve">12) сведения по заключенным договорам найма объектов государственного жилищного фонда;</w:t>
      </w:r>
    </w:p>
    <w:p>
      <w:pPr>
        <w:spacing w:after="120"/>
        <w:jc w:val="both"/>
      </w:pPr>
      <w:r>
        <w:rPr>
          <w:rFonts w:ascii="Arial" w:cs="Arial" w:eastAsia="Arial" w:hAnsi="Arial"/>
          <w:sz w:val="24"/>
          <w:szCs w:val="24"/>
        </w:rPr>
        <w:t xml:space="preserve">13) сведения по имуществу, поступившему в состав государственного имущества по отдельным основаниям (за исключением имущества, подлежащего немедленному уничтожению или реализации);</w:t>
      </w:r>
    </w:p>
    <w:p>
      <w:pPr>
        <w:spacing w:after="120"/>
        <w:jc w:val="both"/>
      </w:pPr>
      <w:r>
        <w:rPr>
          <w:rFonts w:ascii="Arial" w:cs="Arial" w:eastAsia="Arial" w:hAnsi="Arial"/>
          <w:sz w:val="24"/>
          <w:szCs w:val="24"/>
        </w:rPr>
        <w:t xml:space="preserve">14) некоторые показатели годовой финансовой отчетности государственных предприятий и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ПРАВИЛА ВЕДЕНИЯ ЕДИНОГО РЕЕСТРА ГОСУДАРСТВЕННОГО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Представление и актуализация учитываемых в Едином реестре </w:t>
      </w:r>
    </w:p>
    <w:p>
      <w:pPr>
        <w:spacing w:after="120"/>
        <w:jc w:val="both"/>
      </w:pPr>
      <w:r>
        <w:rPr>
          <w:rFonts w:ascii="Arial" w:cs="Arial" w:eastAsia="Arial" w:hAnsi="Arial"/>
          <w:sz w:val="24"/>
          <w:szCs w:val="24"/>
        </w:rPr>
        <w:t xml:space="preserve">государственного имущества сведений</w:t>
      </w:r>
    </w:p>
    <w:p>
      <w:pPr>
        <w:spacing w:after="120"/>
        <w:jc w:val="both"/>
      </w:pPr>
      <w:r>
        <w:rPr>
          <w:rFonts w:ascii="Arial" w:cs="Arial" w:eastAsia="Arial" w:hAnsi="Arial"/>
          <w:sz w:val="24"/>
          <w:szCs w:val="24"/>
        </w:rPr>
        <w:t xml:space="preserve">17. Сведения об объектах учета предоставляются уполномоченными государственными органами, ФУГИ (в пределах своих полномочий), а также государственными юридическими лицами в форме и объеме согласно приложениям № 1-14 настоящих методических инструкций.</w:t>
      </w:r>
    </w:p>
    <w:p>
      <w:pPr>
        <w:spacing w:after="120"/>
        <w:jc w:val="both"/>
      </w:pPr>
      <w:r>
        <w:rPr>
          <w:rFonts w:ascii="Arial" w:cs="Arial" w:eastAsia="Arial" w:hAnsi="Arial"/>
          <w:sz w:val="24"/>
          <w:szCs w:val="24"/>
        </w:rPr>
        <w:t xml:space="preserve">Учреждения, не имеющие индивидуальных идентификационных налоговых номеров (ИНН), в том числе загранучреждения, дипломатические представительства, действующие в системе Министерства иностранных дел КР, ежегодно до 15 марта предоставляют в соответствующее вышестоящее министерство или ведомство КР информацию об объектах учета согласно формам и объему, утвержденным приложениями № 1-14 настоящих методических инструкций. Ввод сведений по объектам учета (государственному имуществу) таких учреждений организуется и осуществляется централизованно в соответствующем министерстве (ведомстве).</w:t>
      </w:r>
    </w:p>
    <w:p>
      <w:pPr>
        <w:spacing w:after="120"/>
        <w:jc w:val="both"/>
      </w:pPr>
      <w:r>
        <w:rPr>
          <w:rFonts w:ascii="Arial" w:cs="Arial" w:eastAsia="Arial" w:hAnsi="Arial"/>
          <w:sz w:val="24"/>
          <w:szCs w:val="24"/>
        </w:rPr>
        <w:t xml:space="preserve">18. Для ведения и актуализации ЕРГИ уполномоченные государственные органы, ФУГИ (каждый государственный орган в пределах своих полномочий)  и государственные юридические лица ежегодно до 1 апреля представляют информацию об объектах учета по всем формам, утвержденным настоящими методическими инструкциями.</w:t>
      </w:r>
    </w:p>
    <w:p>
      <w:pPr>
        <w:spacing w:after="120"/>
        <w:jc w:val="both"/>
      </w:pPr>
      <w:r>
        <w:rPr>
          <w:rFonts w:ascii="Arial" w:cs="Arial" w:eastAsia="Arial" w:hAnsi="Arial"/>
          <w:sz w:val="24"/>
          <w:szCs w:val="24"/>
        </w:rPr>
        <w:t xml:space="preserve">19. Информацию об объектах государственной собственности (детских дошкольных учреждениях, общежитиях, аптеках, оздоровительно-лечебных учреждениях и других объектах социальной инфраструктуры), в соответствии с законодательством Кыргызской Республики переданных на ответственное хранение (в пользование) ранее приватизированным государственным предприятиям, предоставляет ФУГИ, как уполномоченный государственный орган в области приватизации государственного имущества.</w:t>
      </w:r>
    </w:p>
    <w:p>
      <w:pPr>
        <w:spacing w:after="120"/>
        <w:jc w:val="both"/>
      </w:pPr>
      <w:r>
        <w:rPr>
          <w:rFonts w:ascii="Arial" w:cs="Arial" w:eastAsia="Arial" w:hAnsi="Arial"/>
          <w:sz w:val="24"/>
          <w:szCs w:val="24"/>
        </w:rPr>
        <w:t xml:space="preserve">20. Предлагается утвердить:</w:t>
      </w:r>
    </w:p>
    <w:p>
      <w:pPr>
        <w:spacing w:after="120"/>
        <w:jc w:val="both"/>
      </w:pPr>
      <w:r>
        <w:rPr>
          <w:rFonts w:ascii="Arial" w:cs="Arial" w:eastAsia="Arial" w:hAnsi="Arial"/>
          <w:sz w:val="24"/>
          <w:szCs w:val="24"/>
        </w:rPr>
        <w:t xml:space="preserve">1) форму и объем передачи данных в единый реестр государственного имущества по государственным предприятиям, учреждениям, организациям, их филиалам и представительствам, согласно приложению № 1 к настоящим методическим инструкциям;</w:t>
      </w:r>
    </w:p>
    <w:p>
      <w:pPr>
        <w:spacing w:after="120"/>
        <w:jc w:val="both"/>
      </w:pPr>
      <w:r>
        <w:rPr>
          <w:rFonts w:ascii="Arial" w:cs="Arial" w:eastAsia="Arial" w:hAnsi="Arial"/>
          <w:sz w:val="24"/>
          <w:szCs w:val="24"/>
        </w:rPr>
        <w:t xml:space="preserve">2) форму и объем передачи данных в единый реестр государственного имущества по зданиям, зарегистрированным за государственными предприятиями, учреждениями, организациями, их филиалами и представительствами, согласно приложению № 2 к настоящим методическим инструкциям;</w:t>
      </w:r>
    </w:p>
    <w:p>
      <w:pPr>
        <w:spacing w:after="120"/>
        <w:jc w:val="both"/>
      </w:pPr>
      <w:r>
        <w:rPr>
          <w:rFonts w:ascii="Arial" w:cs="Arial" w:eastAsia="Arial" w:hAnsi="Arial"/>
          <w:sz w:val="24"/>
          <w:szCs w:val="24"/>
        </w:rPr>
        <w:t xml:space="preserve">3) форму и объем передачи данных в единый реестр государственного имущества по земельным участкам, находящимся в землепользовании у государственных предприятий, учреждений, организаций, их филиалов и представительств, согласно приложению № 3 к настоящим методическим инструкциям;</w:t>
      </w:r>
    </w:p>
    <w:p>
      <w:pPr>
        <w:spacing w:after="120"/>
        <w:jc w:val="both"/>
      </w:pPr>
      <w:r>
        <w:rPr>
          <w:rFonts w:ascii="Arial" w:cs="Arial" w:eastAsia="Arial" w:hAnsi="Arial"/>
          <w:sz w:val="24"/>
          <w:szCs w:val="24"/>
        </w:rPr>
        <w:t xml:space="preserve">4) форму и объем передачи данных в единый реестр государственного имущества по инженерным сооружениям, согласно приложению № 4 к настоящим методическим инструкциям;</w:t>
      </w:r>
    </w:p>
    <w:p>
      <w:pPr>
        <w:spacing w:after="120"/>
        <w:jc w:val="both"/>
      </w:pPr>
      <w:r>
        <w:rPr>
          <w:rFonts w:ascii="Arial" w:cs="Arial" w:eastAsia="Arial" w:hAnsi="Arial"/>
          <w:sz w:val="24"/>
          <w:szCs w:val="24"/>
        </w:rPr>
        <w:t xml:space="preserve">5) форму и объем передачи данных в единый реестр государственного имущества по объектам незавершенного строительства, согласно приложению № 5 к настоящим методическим инструкциям;</w:t>
      </w:r>
    </w:p>
    <w:p>
      <w:pPr>
        <w:spacing w:after="120"/>
        <w:jc w:val="both"/>
      </w:pPr>
      <w:r>
        <w:rPr>
          <w:rFonts w:ascii="Arial" w:cs="Arial" w:eastAsia="Arial" w:hAnsi="Arial"/>
          <w:sz w:val="24"/>
          <w:szCs w:val="24"/>
        </w:rPr>
        <w:t xml:space="preserve">6) форму и объем передачи данных в единый реестр государственного имущества по воздушным, речным судам и железнодорожным транспортным средствам, зарегистрированным за государственными юридическими лицами, их филиалами и представительствами, согласно приложению № 6 к настоящим методическим инструкциям;</w:t>
      </w:r>
    </w:p>
    <w:p>
      <w:pPr>
        <w:spacing w:after="120"/>
        <w:jc w:val="both"/>
      </w:pPr>
      <w:r>
        <w:rPr>
          <w:rFonts w:ascii="Arial" w:cs="Arial" w:eastAsia="Arial" w:hAnsi="Arial"/>
          <w:sz w:val="24"/>
          <w:szCs w:val="24"/>
        </w:rPr>
        <w:t xml:space="preserve">7) форму и объем передачи данных в единый реестр государственного имущества по автомобильным транспортным средствам, зарегистрированным за государственными юридическими лицами, их филиалами и представительствами, согласно приложению № 7 к настоящим методическим инструкциям;</w:t>
      </w:r>
    </w:p>
    <w:p>
      <w:pPr>
        <w:spacing w:after="120"/>
        <w:jc w:val="both"/>
      </w:pPr>
      <w:r>
        <w:rPr>
          <w:rFonts w:ascii="Arial" w:cs="Arial" w:eastAsia="Arial" w:hAnsi="Arial"/>
          <w:sz w:val="24"/>
          <w:szCs w:val="24"/>
        </w:rPr>
        <w:t xml:space="preserve">8) форму и объем передачи данных в единый реестр государственного имущества по технологическому оборудованию и инвентарю, согласно приложению № 8 к настоящим методическим инструкциям;</w:t>
      </w:r>
    </w:p>
    <w:p>
      <w:pPr>
        <w:spacing w:after="120"/>
        <w:jc w:val="both"/>
      </w:pPr>
      <w:r>
        <w:rPr>
          <w:rFonts w:ascii="Arial" w:cs="Arial" w:eastAsia="Arial" w:hAnsi="Arial"/>
          <w:sz w:val="24"/>
          <w:szCs w:val="24"/>
        </w:rPr>
        <w:t xml:space="preserve">9)  форму и объем передачи данных в единый реестр государственного имущества по объектам интеллектуальной собственности, принадлежащим государству, согласно приложению № 9 к настоящим методическим инструкциям;</w:t>
      </w:r>
    </w:p>
    <w:p>
      <w:pPr>
        <w:spacing w:after="120"/>
        <w:jc w:val="both"/>
      </w:pPr>
      <w:r>
        <w:rPr>
          <w:rFonts w:ascii="Arial" w:cs="Arial" w:eastAsia="Arial" w:hAnsi="Arial"/>
          <w:sz w:val="24"/>
          <w:szCs w:val="24"/>
        </w:rPr>
        <w:t xml:space="preserve">10) форму и объем передачи данных в единый реестр государственного имущества по акциям акционерных обществ и долям участия в уставном капитале обществ с ограниченной ответственностью, принадлежащим государству, согласно приложению № 10 к настоящим методическим инструкциям;</w:t>
      </w:r>
    </w:p>
    <w:p>
      <w:pPr>
        <w:spacing w:after="120"/>
        <w:jc w:val="both"/>
      </w:pPr>
      <w:r>
        <w:rPr>
          <w:rFonts w:ascii="Arial" w:cs="Arial" w:eastAsia="Arial" w:hAnsi="Arial"/>
          <w:sz w:val="24"/>
          <w:szCs w:val="24"/>
        </w:rPr>
        <w:t xml:space="preserve">11) форму и объем передачи данных в единый реестр государственного имущества о государственном имуществе, переданном в доверительное и оперативное управление физическим и юридическим лицам, согласно приложению № 11 к настоящим методическим инструкциям;</w:t>
      </w:r>
    </w:p>
    <w:p>
      <w:pPr>
        <w:spacing w:after="120"/>
        <w:jc w:val="both"/>
      </w:pPr>
      <w:r>
        <w:rPr>
          <w:rFonts w:ascii="Arial" w:cs="Arial" w:eastAsia="Arial" w:hAnsi="Arial"/>
          <w:sz w:val="24"/>
          <w:szCs w:val="24"/>
        </w:rPr>
        <w:t xml:space="preserve">12) форму и объем передачи данных в единый реестр государственного имущества о государственном имуществе, переданном в аренду физическим и юридическим лицам, согласно приложению № 12 к настоящим методическим инструкциям; </w:t>
      </w:r>
    </w:p>
    <w:p>
      <w:pPr>
        <w:spacing w:after="120"/>
        <w:jc w:val="both"/>
      </w:pPr>
      <w:r>
        <w:rPr>
          <w:rFonts w:ascii="Arial" w:cs="Arial" w:eastAsia="Arial" w:hAnsi="Arial"/>
          <w:sz w:val="24"/>
          <w:szCs w:val="24"/>
        </w:rPr>
        <w:t xml:space="preserve">13) форму и объем передачи данных в единый реестр государственного имущества о государственном имуществе, переданном в безвозмездное пользование физическим и юридическим лицам, согласно приложению № 13 к настоящим методическим инструкциям;</w:t>
      </w:r>
    </w:p>
    <w:p>
      <w:pPr>
        <w:spacing w:after="120"/>
        <w:jc w:val="both"/>
      </w:pPr>
      <w:r>
        <w:rPr>
          <w:rFonts w:ascii="Arial" w:cs="Arial" w:eastAsia="Arial" w:hAnsi="Arial"/>
          <w:sz w:val="24"/>
          <w:szCs w:val="24"/>
        </w:rPr>
        <w:t xml:space="preserve">14) форму и объем передачи данных в единый реестр государственного имущества об объектах государственной собственности, находящихся на ответственном хранении (в пользовании) приватизированных государственных предприятий, согласно приложению № 14 к настоящим методическим инструкциям.</w:t>
      </w:r>
    </w:p>
    <w:p>
      <w:pPr>
        <w:spacing w:after="120"/>
        <w:jc w:val="both"/>
      </w:pPr>
      <w:r>
        <w:rPr>
          <w:rFonts w:ascii="Arial" w:cs="Arial" w:eastAsia="Arial" w:hAnsi="Arial"/>
          <w:sz w:val="24"/>
          <w:szCs w:val="24"/>
        </w:rPr>
        <w:t xml:space="preserve">21. Министерствам и ведомствам Кыргызской Республики, государственным агенствам и службам, другим органам, уполномоченным управлять государственным имуществом, необходимо:</w:t>
      </w:r>
    </w:p>
    <w:p>
      <w:pPr>
        <w:spacing w:after="120"/>
        <w:jc w:val="both"/>
      </w:pPr>
      <w:r>
        <w:rPr>
          <w:rFonts w:ascii="Arial" w:cs="Arial" w:eastAsia="Arial" w:hAnsi="Arial"/>
          <w:sz w:val="24"/>
          <w:szCs w:val="24"/>
        </w:rPr>
        <w:t xml:space="preserve">1) довести до сведения всем подведомственным государственным юридическим лицам, в которых они исполняют полномочия государства, о необходимости предоставления информации об объектах согласно утвержденным формам и в определенные сроки;</w:t>
      </w:r>
    </w:p>
    <w:p>
      <w:pPr>
        <w:spacing w:after="120"/>
        <w:jc w:val="both"/>
      </w:pPr>
      <w:r>
        <w:rPr>
          <w:rFonts w:ascii="Arial" w:cs="Arial" w:eastAsia="Arial" w:hAnsi="Arial"/>
          <w:sz w:val="24"/>
          <w:szCs w:val="24"/>
        </w:rPr>
        <w:t xml:space="preserve">2) обеспечить проведение инвентаризации государственного имущества всеми подведомственными государственными предприятиями, учреждениями и организациями до предоставления информации в единый реестр государственного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Изменение данных ЕРГИ</w:t>
      </w:r>
    </w:p>
    <w:p>
      <w:pPr>
        <w:spacing w:after="120"/>
        <w:jc w:val="both"/>
      </w:pPr>
      <w:r>
        <w:rPr>
          <w:rFonts w:ascii="Arial" w:cs="Arial" w:eastAsia="Arial" w:hAnsi="Arial"/>
          <w:sz w:val="24"/>
          <w:szCs w:val="24"/>
        </w:rPr>
        <w:t xml:space="preserve">22. Регистрации в реестре подлежат следующие записи о:</w:t>
      </w:r>
    </w:p>
    <w:p>
      <w:pPr>
        <w:spacing w:after="120"/>
        <w:jc w:val="both"/>
      </w:pPr>
      <w:r>
        <w:rPr>
          <w:rFonts w:ascii="Arial" w:cs="Arial" w:eastAsia="Arial" w:hAnsi="Arial"/>
          <w:sz w:val="24"/>
          <w:szCs w:val="24"/>
        </w:rPr>
        <w:t xml:space="preserve">1) включении в реестр данных об объекте учета;</w:t>
      </w:r>
    </w:p>
    <w:p>
      <w:pPr>
        <w:spacing w:after="120"/>
        <w:jc w:val="both"/>
      </w:pPr>
      <w:r>
        <w:rPr>
          <w:rFonts w:ascii="Arial" w:cs="Arial" w:eastAsia="Arial" w:hAnsi="Arial"/>
          <w:sz w:val="24"/>
          <w:szCs w:val="24"/>
        </w:rPr>
        <w:t xml:space="preserve">2) актуализации данных об объекте учета;</w:t>
      </w:r>
    </w:p>
    <w:p>
      <w:pPr>
        <w:spacing w:after="120"/>
        <w:jc w:val="both"/>
      </w:pPr>
      <w:r>
        <w:rPr>
          <w:rFonts w:ascii="Arial" w:cs="Arial" w:eastAsia="Arial" w:hAnsi="Arial"/>
          <w:sz w:val="24"/>
          <w:szCs w:val="24"/>
        </w:rPr>
        <w:t xml:space="preserve">3) исключении из реестра объекта учета.</w:t>
      </w:r>
    </w:p>
    <w:p>
      <w:pPr>
        <w:spacing w:after="120"/>
        <w:jc w:val="both"/>
      </w:pPr>
      <w:r>
        <w:rPr>
          <w:rFonts w:ascii="Arial" w:cs="Arial" w:eastAsia="Arial" w:hAnsi="Arial"/>
          <w:sz w:val="24"/>
          <w:szCs w:val="24"/>
        </w:rPr>
        <w:t xml:space="preserve">В дополнительном подразделе реестра, заполняемом согласно формам, утвержденным приложениями  № 11-14 к настоящим методическим инструкциям, в обязательном порядке должна содержаться информация о выполнении покупателями (пользователями) государственного имущества условий соответствующих договоров. В этих случаях регистратор прикрепляет отсканированный в электронном формате «Acrobat Reader» документ, который свидетельствует о выполнении договорных обязательств на конкретную последнюю дату, предусмотренную договором.</w:t>
      </w:r>
    </w:p>
    <w:p>
      <w:pPr>
        <w:spacing w:after="120"/>
        <w:jc w:val="both"/>
      </w:pPr>
      <w:r>
        <w:rPr>
          <w:rFonts w:ascii="Arial" w:cs="Arial" w:eastAsia="Arial" w:hAnsi="Arial"/>
          <w:sz w:val="24"/>
          <w:szCs w:val="24"/>
        </w:rPr>
        <w:t xml:space="preserve">23. Государственные органы обеспечивают представление сведений об объектах учета из ведомственных информационных систем или организуют доступ к ведомственным информационным системам для регистрации в реестре записей о включении, актуализации и исключении из реестра объектов учета.</w:t>
      </w:r>
    </w:p>
    <w:p>
      <w:pPr>
        <w:spacing w:after="120"/>
        <w:jc w:val="both"/>
      </w:pPr>
      <w:r>
        <w:rPr>
          <w:rFonts w:ascii="Arial" w:cs="Arial" w:eastAsia="Arial" w:hAnsi="Arial"/>
          <w:sz w:val="24"/>
          <w:szCs w:val="24"/>
        </w:rPr>
        <w:t xml:space="preserve">24. Актуализация сведений реестра осуществляется единым оператором в сфере учета государственного имущества (далее - Единый оператор), определенным Правительством Кыргызской Республики, путем обновления, дополнения, изменения и иных действий, позволяющих отразить в реестре объективную и адекватную информацию об объектах учета.</w:t>
      </w:r>
    </w:p>
    <w:p>
      <w:pPr>
        <w:spacing w:after="120"/>
        <w:jc w:val="both"/>
      </w:pPr>
      <w:r>
        <w:rPr>
          <w:rFonts w:ascii="Arial" w:cs="Arial" w:eastAsia="Arial" w:hAnsi="Arial"/>
          <w:sz w:val="24"/>
          <w:szCs w:val="24"/>
        </w:rPr>
        <w:t xml:space="preserve">25. Включение, актуализация и исключение из реестра имущества, закрепленного за государственными юридическими лицами, а также сделки с ними производятся посредством ввода (регистрации) и исполнения записей в реестре в течение пяти рабочих дней с даты отражения изменения в системе бухгалтерского учета государственного юридического лица в следующем порядке:</w:t>
      </w:r>
    </w:p>
    <w:p>
      <w:pPr>
        <w:spacing w:after="120"/>
        <w:jc w:val="both"/>
      </w:pPr>
      <w:r>
        <w:rPr>
          <w:rFonts w:ascii="Arial" w:cs="Arial" w:eastAsia="Arial" w:hAnsi="Arial"/>
          <w:sz w:val="24"/>
          <w:szCs w:val="24"/>
        </w:rPr>
        <w:t xml:space="preserve">1) регистратор через веб-портал реестра регистрирует и сохраняет запись, подписанный ЭЦП регистратора, следующим образом:</w:t>
      </w:r>
    </w:p>
    <w:p>
      <w:pPr>
        <w:spacing w:after="120"/>
        <w:jc w:val="both"/>
      </w:pPr>
      <w:r>
        <w:rPr>
          <w:rFonts w:ascii="Arial" w:cs="Arial" w:eastAsia="Arial" w:hAnsi="Arial"/>
          <w:sz w:val="24"/>
          <w:szCs w:val="24"/>
        </w:rPr>
        <w:t xml:space="preserve">- заполняет данные по имуществу с указанием в записи основания для его регистрации;</w:t>
      </w:r>
    </w:p>
    <w:p>
      <w:pPr>
        <w:spacing w:after="120"/>
        <w:jc w:val="both"/>
      </w:pPr>
      <w:r>
        <w:rPr>
          <w:rFonts w:ascii="Arial" w:cs="Arial" w:eastAsia="Arial" w:hAnsi="Arial"/>
          <w:sz w:val="24"/>
          <w:szCs w:val="24"/>
        </w:rPr>
        <w:t xml:space="preserve">- прикрепляет к нему сканированный в электронном формате «Acrobat Reader» документ, на основании которого имущество закреплено (приобретено) за государственным предприятием (юридическим лицом) или на основании которого совершена сделка, документ о согласовании сделки с уполномоченным органом по управлению государственным имуществом или с областным (районным) уполномоченным органом, с уполномоченным органом соответствующей отрасли;</w:t>
      </w:r>
    </w:p>
    <w:p>
      <w:pPr>
        <w:spacing w:after="120"/>
        <w:jc w:val="both"/>
      </w:pPr>
      <w:r>
        <w:rPr>
          <w:rFonts w:ascii="Arial" w:cs="Arial" w:eastAsia="Arial" w:hAnsi="Arial"/>
          <w:sz w:val="24"/>
          <w:szCs w:val="24"/>
        </w:rPr>
        <w:t xml:space="preserve">- прикрепляет отсканированный в электронном формате «Acrobat Reader» документ, свидетельствующий о техническом состоянии объекта учета;</w:t>
      </w:r>
    </w:p>
    <w:p>
      <w:pPr>
        <w:spacing w:after="120"/>
        <w:jc w:val="both"/>
      </w:pPr>
      <w:r>
        <w:rPr>
          <w:rFonts w:ascii="Arial" w:cs="Arial" w:eastAsia="Arial" w:hAnsi="Arial"/>
          <w:sz w:val="24"/>
          <w:szCs w:val="24"/>
        </w:rPr>
        <w:t xml:space="preserve">2) исполнитель в течение трех рабочих дней проверяет сохраненные регистратором в реестре записи и исполняет их, либо отказывает в исполнении с указанием причины отказа;</w:t>
      </w:r>
    </w:p>
    <w:p>
      <w:pPr>
        <w:spacing w:after="120"/>
        <w:jc w:val="both"/>
      </w:pPr>
      <w:r>
        <w:rPr>
          <w:rFonts w:ascii="Arial" w:cs="Arial" w:eastAsia="Arial" w:hAnsi="Arial"/>
          <w:sz w:val="24"/>
          <w:szCs w:val="24"/>
        </w:rPr>
        <w:t xml:space="preserve">3) после завершения записи в реестре формируется отчет о его исполнении в электронном формате.</w:t>
      </w:r>
    </w:p>
    <w:p>
      <w:pPr>
        <w:spacing w:after="120"/>
        <w:jc w:val="both"/>
      </w:pPr>
      <w:r>
        <w:rPr>
          <w:rFonts w:ascii="Arial" w:cs="Arial" w:eastAsia="Arial" w:hAnsi="Arial"/>
          <w:sz w:val="24"/>
          <w:szCs w:val="24"/>
        </w:rPr>
        <w:t xml:space="preserve">26. Отчет об исполнении или отказе исполнения записи подлежит распечатке регистратором из веб-портала реестра и хранению вместе с документами, на основании которых была произведена или не произведена регистрация записи.</w:t>
      </w:r>
    </w:p>
    <w:p>
      <w:pPr>
        <w:spacing w:after="120"/>
        <w:jc w:val="both"/>
      </w:pPr>
      <w:r>
        <w:rPr>
          <w:rFonts w:ascii="Arial" w:cs="Arial" w:eastAsia="Arial" w:hAnsi="Arial"/>
          <w:sz w:val="24"/>
          <w:szCs w:val="24"/>
        </w:rPr>
        <w:t xml:space="preserve">27. Исполнитель приостанавливает исполнение записей в реестре в случае несоответствия сохраненных регистратором записей требованиям подпункта 1) пункта 17 настоящих методических инструкций.</w:t>
      </w:r>
    </w:p>
    <w:p>
      <w:pPr>
        <w:spacing w:after="120"/>
        <w:jc w:val="both"/>
      </w:pPr>
      <w:r>
        <w:rPr>
          <w:rFonts w:ascii="Arial" w:cs="Arial" w:eastAsia="Arial" w:hAnsi="Arial"/>
          <w:sz w:val="24"/>
          <w:szCs w:val="24"/>
        </w:rPr>
        <w:t xml:space="preserve">28. В случае неустранения регистратором выявленных несоответствий, запись снимается исполнителем с исполнения в реестре в течение трех рабочих дней с момента приостановления записи.</w:t>
      </w:r>
    </w:p>
    <w:p>
      <w:pPr>
        <w:spacing w:after="120"/>
        <w:jc w:val="both"/>
      </w:pPr>
      <w:r>
        <w:rPr>
          <w:rFonts w:ascii="Arial" w:cs="Arial" w:eastAsia="Arial" w:hAnsi="Arial"/>
          <w:sz w:val="24"/>
          <w:szCs w:val="24"/>
        </w:rPr>
        <w:t xml:space="preserve">29. При исключении объекта учета из реестра в связи с прекращением прав государства на него, наблюдение за этим объектом прекращается. Передача объекта учета реестра из управления одного государственного органа другому, а также передача во владение и (или) пользование государственным и негосударственным юридическим лицам и физическим лицам не являются основаниями для исключения объекта учета из реестра.</w:t>
      </w:r>
    </w:p>
    <w:p>
      <w:pPr>
        <w:spacing w:after="120"/>
        <w:jc w:val="both"/>
      </w:pPr>
      <w:r>
        <w:rPr>
          <w:rFonts w:ascii="Arial" w:cs="Arial" w:eastAsia="Arial" w:hAnsi="Arial"/>
          <w:sz w:val="24"/>
          <w:szCs w:val="24"/>
        </w:rPr>
        <w:t xml:space="preserve">30. Данные об объектах учета, исключенных из реестра, переносятся в архив базы данных реестра.</w:t>
      </w:r>
    </w:p>
    <w:p>
      <w:pPr>
        <w:spacing w:after="120"/>
        <w:jc w:val="both"/>
      </w:pPr>
      <w:r>
        <w:rPr>
          <w:rFonts w:ascii="Arial" w:cs="Arial" w:eastAsia="Arial" w:hAnsi="Arial"/>
          <w:sz w:val="24"/>
          <w:szCs w:val="24"/>
        </w:rPr>
        <w:t xml:space="preserve">31. Государственные предприятия обеспечивают ввод результатов проведенной инвентаризации имущества, закрепленного на балансе государственных предприятий, в реестр.</w:t>
      </w:r>
    </w:p>
    <w:p>
      <w:pPr>
        <w:spacing w:after="120"/>
        <w:jc w:val="both"/>
      </w:pPr>
      <w:r>
        <w:rPr>
          <w:rFonts w:ascii="Arial" w:cs="Arial" w:eastAsia="Arial" w:hAnsi="Arial"/>
          <w:sz w:val="24"/>
          <w:szCs w:val="24"/>
        </w:rPr>
        <w:t xml:space="preserve">32. Выявленные расхождения в данных реестра и бухгалтерского учета государственных предприятий по результатам проведенной инвентаризации устраняются государственными юридическими лицами в реестре в порядке, установленном пунктом 17 настоящих методических инструкций, в течение двух месяцев после завершения календарного года.</w:t>
      </w:r>
    </w:p>
    <w:p>
      <w:pPr>
        <w:spacing w:after="120"/>
        <w:jc w:val="both"/>
      </w:pPr>
      <w:r>
        <w:rPr>
          <w:rFonts w:ascii="Arial" w:cs="Arial" w:eastAsia="Arial" w:hAnsi="Arial"/>
          <w:sz w:val="24"/>
          <w:szCs w:val="24"/>
        </w:rPr>
        <w:t xml:space="preserve">33. Для регистрации, реорганизации (преобразования, слияния, присоединения, разделения, выделения), ликвидации, перерегистрации государственных предприятий, их филиалов и представительств, а также организаций:</w:t>
      </w:r>
    </w:p>
    <w:p>
      <w:pPr>
        <w:spacing w:after="120"/>
        <w:jc w:val="both"/>
      </w:pPr>
      <w:r>
        <w:rPr>
          <w:rFonts w:ascii="Arial" w:cs="Arial" w:eastAsia="Arial" w:hAnsi="Arial"/>
          <w:sz w:val="24"/>
          <w:szCs w:val="24"/>
        </w:rPr>
        <w:t xml:space="preserve">государственные предприятия, их филиалы и представительства, а также организации представляют Единому оператору заполненный и подписанный уполномоченным лицом бланк заявления по форме, установленной уполномоченным государственным органом, осуществляющим государственную регистрацию юридических лиц и учетную регистрацию филиалов и представительств (далее - регистрирующий орган) в соответствии с Законом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 Единый оператор в течение двух рабочих дней с момента получения заявления проверяет содержащуюся в реестре информацию по указанному в заявлении государственного предприятия  или организации, вносит необходимые изменения и дополнения в реестр и ставит соответствующую отметку на бланке заявления;</w:t>
      </w:r>
    </w:p>
    <w:p>
      <w:pPr>
        <w:spacing w:after="120"/>
        <w:jc w:val="both"/>
      </w:pPr>
      <w:r>
        <w:rPr>
          <w:rFonts w:ascii="Arial" w:cs="Arial" w:eastAsia="Arial" w:hAnsi="Arial"/>
          <w:sz w:val="24"/>
          <w:szCs w:val="24"/>
        </w:rPr>
        <w:t xml:space="preserve">государственные предприятия, их филиалы и представительства, а также организации подают в регистрирующий орган заявление с отметкой единого оператора.</w:t>
      </w:r>
    </w:p>
    <w:p>
      <w:pPr>
        <w:spacing w:after="120"/>
        <w:jc w:val="both"/>
      </w:pPr>
      <w:r>
        <w:rPr>
          <w:rFonts w:ascii="Arial" w:cs="Arial" w:eastAsia="Arial" w:hAnsi="Arial"/>
          <w:sz w:val="24"/>
          <w:szCs w:val="24"/>
        </w:rPr>
        <w:t xml:space="preserve">34. При изменении размера уставного капитала организации в регистрирующий орган подается заявление, заверенное единым оператором в порядке, предусмотренном пунктом 25 настоящих Правил.</w:t>
      </w:r>
    </w:p>
    <w:p>
      <w:pPr>
        <w:spacing w:after="120"/>
        <w:jc w:val="both"/>
      </w:pPr>
      <w:r>
        <w:rPr>
          <w:rFonts w:ascii="Arial" w:cs="Arial" w:eastAsia="Arial" w:hAnsi="Arial"/>
          <w:sz w:val="24"/>
          <w:szCs w:val="24"/>
        </w:rPr>
        <w:t xml:space="preserve">35. Регистрирующий орган в течение пяти рабочих дней извещает единого оператора о произведенной государственной регистрации (перерегистрации) либо отказе в регистрации (перерегистрации) государственных юридических лиц, их филиалов и представительств, а также организаций для внесения изменений в реестр.</w:t>
      </w:r>
    </w:p>
    <w:p>
      <w:pPr>
        <w:spacing w:after="120"/>
        <w:jc w:val="both"/>
      </w:pPr>
      <w:r>
        <w:rPr>
          <w:rFonts w:ascii="Arial" w:cs="Arial" w:eastAsia="Arial" w:hAnsi="Arial"/>
          <w:sz w:val="24"/>
          <w:szCs w:val="24"/>
        </w:rPr>
        <w:t xml:space="preserve">36. Для регистрации в реестре держателей ценных бумаг сделки с ценными бумагами, принадлежащими государству, запись на регистрацию сделки с ценными бумагами уполномоченного государственного органа по управлению государственным имуществом или районного уполномоченного органа подается с отметкой единого оператора.</w:t>
      </w:r>
    </w:p>
    <w:p>
      <w:pPr>
        <w:spacing w:after="120"/>
        <w:jc w:val="both"/>
      </w:pPr>
      <w:r>
        <w:rPr>
          <w:rFonts w:ascii="Arial" w:cs="Arial" w:eastAsia="Arial" w:hAnsi="Arial"/>
          <w:sz w:val="24"/>
          <w:szCs w:val="24"/>
        </w:rPr>
        <w:t xml:space="preserve">Единый регистратор, определенный в соответствии с законодательством Кыргызской Республики о рынке ценных бумаг, в течение пяти рабочих дней извещает единого оператора о результатах регистрации либо отказе в регистрации сделок с ценными бумагами, принадлежащими государству, для внесения изменений и дополнений в реестр.</w:t>
      </w:r>
    </w:p>
    <w:p>
      <w:pPr>
        <w:spacing w:after="120"/>
        <w:jc w:val="both"/>
      </w:pPr>
      <w:r>
        <w:rPr>
          <w:rFonts w:ascii="Arial" w:cs="Arial" w:eastAsia="Arial" w:hAnsi="Arial"/>
          <w:sz w:val="24"/>
          <w:szCs w:val="24"/>
        </w:rPr>
        <w:t xml:space="preserve">37. Государственный орган, являющийся одной из сторон договора купли-продажи, передачи в залог или доверительного (оперативного) управления государственным имуществом, в течение пяти рабочих дней со дня регистрации сделки извещает единого оператора о заключении договора для внесения изменений и дополнений в реестр, и единым оператором ставится отметка на соответствующем договоре.</w:t>
      </w:r>
    </w:p>
    <w:p>
      <w:pPr>
        <w:spacing w:after="120"/>
        <w:jc w:val="both"/>
      </w:pPr>
      <w:r>
        <w:rPr>
          <w:rFonts w:ascii="Arial" w:cs="Arial" w:eastAsia="Arial" w:hAnsi="Arial"/>
          <w:sz w:val="24"/>
          <w:szCs w:val="24"/>
        </w:rPr>
        <w:t xml:space="preserve">38. В случае расторжения договора, указанного в пункте 29 настоящих Правил, государственный орган, являющийся одной из сторон договора, в течение пяти рабочих дней извещает единого оператора о расторжении договора для внесения изменений и дополнений в реестр.</w:t>
      </w:r>
    </w:p>
    <w:p>
      <w:pPr>
        <w:spacing w:after="120"/>
        <w:jc w:val="both"/>
      </w:pPr>
      <w:r>
        <w:rPr>
          <w:rFonts w:ascii="Arial" w:cs="Arial" w:eastAsia="Arial" w:hAnsi="Arial"/>
          <w:sz w:val="24"/>
          <w:szCs w:val="24"/>
        </w:rPr>
        <w:t xml:space="preserve">39. Уполномоченный государственный орган, осуществляющий функции в сфере контроля за проведением процедур банкротства (за исключением банков, страховых (перестраховочных) организаций и накопительных пенсионных фондов), в случае ликвидации государственных юридических лиц, организаций извещает единого оператора о начале ликвидационной процедуры в течение пяти рабочих дней со дня вступления в законную силу решения о ликвидации.</w:t>
      </w:r>
    </w:p>
    <w:p>
      <w:pPr>
        <w:spacing w:after="120"/>
        <w:jc w:val="both"/>
      </w:pPr>
      <w:r>
        <w:rPr>
          <w:rFonts w:ascii="Arial" w:cs="Arial" w:eastAsia="Arial" w:hAnsi="Arial"/>
          <w:sz w:val="24"/>
          <w:szCs w:val="24"/>
        </w:rPr>
        <w:t xml:space="preserve">40. Государственные органы, в ведении которых находится имущество, составляющее  государственную тайну согласно законодательству Кыргызской Республики, обеспечивают сбор и представление сведений об объектах учета согласно утвержденным формам и объемам. Причем, в отношении такого имущества государственные органы должны указать на необходимость охраны государственных секретов. С этой целью регистрация записей в реестре отмечается грифом “секретно”, а порядок доступа к такой информации определяется правительством Кыргызской Республики.</w:t>
      </w:r>
    </w:p>
    <w:p>
      <w:pPr>
        <w:spacing w:after="120"/>
        <w:jc w:val="both"/>
      </w:pPr>
      <w:r>
        <w:rPr>
          <w:rFonts w:ascii="Arial" w:cs="Arial" w:eastAsia="Arial" w:hAnsi="Arial"/>
          <w:sz w:val="24"/>
          <w:szCs w:val="24"/>
        </w:rPr>
        <w:t xml:space="preserve">41. По решению правительства Кыргызской Республики информация об имуществе, составляющем государственную тайну может храниться в бумажном виде.</w:t>
      </w:r>
    </w:p>
    <w:p>
      <w:pPr>
        <w:spacing w:after="120"/>
        <w:jc w:val="both"/>
      </w:pPr>
      <w:r>
        <w:rPr>
          <w:rFonts w:ascii="Arial" w:cs="Arial" w:eastAsia="Arial" w:hAnsi="Arial"/>
          <w:sz w:val="24"/>
          <w:szCs w:val="24"/>
        </w:rPr>
        <w:t xml:space="preserve">2.3. Порядок доступа к реестру</w:t>
      </w:r>
    </w:p>
    <w:p>
      <w:pPr>
        <w:spacing w:after="120"/>
        <w:jc w:val="both"/>
      </w:pPr>
      <w:r>
        <w:rPr>
          <w:rFonts w:ascii="Arial" w:cs="Arial" w:eastAsia="Arial" w:hAnsi="Arial"/>
          <w:sz w:val="24"/>
          <w:szCs w:val="24"/>
        </w:rPr>
        <w:t xml:space="preserve">42. Ведение реестра осуществляется с помощью средств электронных систем сбора, обработки и хранения информации на базе специализированных программно-технических комплексов, позволяющих оптимизировать управление реестром и администрировать доступ к информации, обеспечивающих надежность и сохранность данных.</w:t>
      </w:r>
    </w:p>
    <w:p>
      <w:pPr>
        <w:spacing w:after="120"/>
        <w:jc w:val="both"/>
      </w:pPr>
      <w:r>
        <w:rPr>
          <w:rFonts w:ascii="Arial" w:cs="Arial" w:eastAsia="Arial" w:hAnsi="Arial"/>
          <w:sz w:val="24"/>
          <w:szCs w:val="24"/>
        </w:rPr>
        <w:t xml:space="preserve">43. Доступ к данным реестра обеспечивается оператором ЕРГИ через веб-портал реестра.</w:t>
      </w:r>
    </w:p>
    <w:p>
      <w:pPr>
        <w:spacing w:after="120"/>
        <w:jc w:val="both"/>
      </w:pPr>
      <w:r>
        <w:rPr>
          <w:rFonts w:ascii="Arial" w:cs="Arial" w:eastAsia="Arial" w:hAnsi="Arial"/>
          <w:sz w:val="24"/>
          <w:szCs w:val="24"/>
        </w:rPr>
        <w:t xml:space="preserve">44. По уровню доступа к веб-порталу реестра пользователи
 подразделяются на следующие категории:</w:t>
      </w:r>
    </w:p>
    <w:p>
      <w:pPr>
        <w:spacing w:after="120"/>
        <w:jc w:val="both"/>
      </w:pPr>
      <w:r>
        <w:rPr>
          <w:rFonts w:ascii="Arial" w:cs="Arial" w:eastAsia="Arial" w:hAnsi="Arial"/>
          <w:sz w:val="24"/>
          <w:szCs w:val="24"/>
        </w:rPr>
        <w:t xml:space="preserve">1) физические и юридические лица;</w:t>
      </w:r>
    </w:p>
    <w:p>
      <w:pPr>
        <w:spacing w:after="120"/>
        <w:jc w:val="both"/>
      </w:pPr>
      <w:r>
        <w:rPr>
          <w:rFonts w:ascii="Arial" w:cs="Arial" w:eastAsia="Arial" w:hAnsi="Arial"/>
          <w:sz w:val="24"/>
          <w:szCs w:val="24"/>
        </w:rPr>
        <w:t xml:space="preserve">2) государственные юридические лица;</w:t>
      </w:r>
    </w:p>
    <w:p>
      <w:pPr>
        <w:spacing w:after="120"/>
        <w:jc w:val="both"/>
      </w:pPr>
      <w:r>
        <w:rPr>
          <w:rFonts w:ascii="Arial" w:cs="Arial" w:eastAsia="Arial" w:hAnsi="Arial"/>
          <w:sz w:val="24"/>
          <w:szCs w:val="24"/>
        </w:rPr>
        <w:t xml:space="preserve">3) уполномоченные государственные органы соответствующей отрасли;</w:t>
      </w:r>
    </w:p>
    <w:p>
      <w:pPr>
        <w:spacing w:after="120"/>
        <w:jc w:val="both"/>
      </w:pPr>
      <w:r>
        <w:rPr>
          <w:rFonts w:ascii="Arial" w:cs="Arial" w:eastAsia="Arial" w:hAnsi="Arial"/>
          <w:sz w:val="24"/>
          <w:szCs w:val="24"/>
        </w:rPr>
        <w:t xml:space="preserve">4) уполномоченный государственный орган по управлению государственным имуществом;</w:t>
      </w:r>
    </w:p>
    <w:p>
      <w:pPr>
        <w:spacing w:after="120"/>
        <w:jc w:val="both"/>
      </w:pPr>
      <w:r>
        <w:rPr>
          <w:rFonts w:ascii="Arial" w:cs="Arial" w:eastAsia="Arial" w:hAnsi="Arial"/>
          <w:sz w:val="24"/>
          <w:szCs w:val="24"/>
        </w:rPr>
        <w:t xml:space="preserve">5) уполномоченный государственный орган по контролю за исполнением республиканского бюджета;</w:t>
      </w:r>
    </w:p>
    <w:p>
      <w:pPr>
        <w:spacing w:after="120"/>
        <w:jc w:val="both"/>
      </w:pPr>
      <w:r>
        <w:rPr>
          <w:rFonts w:ascii="Arial" w:cs="Arial" w:eastAsia="Arial" w:hAnsi="Arial"/>
          <w:sz w:val="24"/>
          <w:szCs w:val="24"/>
        </w:rPr>
        <w:t xml:space="preserve">6) уполномоченный государственный орган по экономическому развитию;</w:t>
      </w:r>
    </w:p>
    <w:p>
      <w:pPr>
        <w:spacing w:after="120"/>
        <w:jc w:val="both"/>
      </w:pPr>
      <w:r>
        <w:rPr>
          <w:rFonts w:ascii="Arial" w:cs="Arial" w:eastAsia="Arial" w:hAnsi="Arial"/>
          <w:sz w:val="24"/>
          <w:szCs w:val="24"/>
        </w:rPr>
        <w:t xml:space="preserve">7) исполнительные органы, финансируемые из местного бюджета, наделенные полномочиями на осуществление прав владения и пользования государственным пакетом акций акционерных обществ и долями участия в товариществах с ограниченной ответственностью.</w:t>
      </w:r>
    </w:p>
    <w:p>
      <w:pPr>
        <w:spacing w:after="120"/>
        <w:jc w:val="both"/>
      </w:pPr>
      <w:r>
        <w:rPr>
          <w:rFonts w:ascii="Arial" w:cs="Arial" w:eastAsia="Arial" w:hAnsi="Arial"/>
          <w:sz w:val="24"/>
          <w:szCs w:val="24"/>
        </w:rPr>
        <w:t xml:space="preserve">45. Для предоставления доступа к данным реестра:</w:t>
      </w:r>
    </w:p>
    <w:p>
      <w:pPr>
        <w:spacing w:after="120"/>
        <w:jc w:val="both"/>
      </w:pPr>
      <w:r>
        <w:rPr>
          <w:rFonts w:ascii="Arial" w:cs="Arial" w:eastAsia="Arial" w:hAnsi="Arial"/>
          <w:sz w:val="24"/>
          <w:szCs w:val="24"/>
        </w:rPr>
        <w:t xml:space="preserve">1) пользователи, указанные в подпунктах 2), 3), 4), 5), 6) и 7) пункта 29 настоящих методических инструкций, должны обладать ЭЦП, выданной национальным удостоверяющим центром;</w:t>
      </w:r>
    </w:p>
    <w:p>
      <w:pPr>
        <w:spacing w:after="120"/>
        <w:jc w:val="both"/>
      </w:pPr>
      <w:r>
        <w:rPr>
          <w:rFonts w:ascii="Arial" w:cs="Arial" w:eastAsia="Arial" w:hAnsi="Arial"/>
          <w:sz w:val="24"/>
          <w:szCs w:val="24"/>
        </w:rPr>
        <w:t xml:space="preserve">2) уполномоченный государственный орган соответствующей отрасли, уполномоченный государственный орган по управлению государственным имуществом, уполномоченный государственный орган по контролю за исполнением республиканского бюджета, уполномоченный государственный орган по экономическому развитию ежегодно направляют оператору ЕРГИ актуализированные списки своих работников для предоставления им доступа к реестру.</w:t>
      </w:r>
    </w:p>
    <w:p>
      <w:pPr>
        <w:spacing w:after="120"/>
        <w:jc w:val="both"/>
      </w:pPr>
      <w:r>
        <w:rPr>
          <w:rFonts w:ascii="Arial" w:cs="Arial" w:eastAsia="Arial" w:hAnsi="Arial"/>
          <w:sz w:val="24"/>
          <w:szCs w:val="24"/>
        </w:rPr>
        <w:t xml:space="preserve">46. Для физических и юридических лиц на веб-портале реестра доступны следующие функции:</w:t>
      </w:r>
    </w:p>
    <w:p>
      <w:pPr>
        <w:spacing w:after="120"/>
        <w:jc w:val="both"/>
      </w:pPr>
      <w:r>
        <w:rPr>
          <w:rFonts w:ascii="Arial" w:cs="Arial" w:eastAsia="Arial" w:hAnsi="Arial"/>
          <w:sz w:val="24"/>
          <w:szCs w:val="24"/>
        </w:rPr>
        <w:t xml:space="preserve">1) просмотр сведений по организациям, а также государственным юридическим лицам и недвижимому имуществу, закрепленному за ними;</w:t>
      </w:r>
    </w:p>
    <w:p>
      <w:pPr>
        <w:spacing w:after="120"/>
        <w:jc w:val="both"/>
      </w:pPr>
      <w:r>
        <w:rPr>
          <w:rFonts w:ascii="Arial" w:cs="Arial" w:eastAsia="Arial" w:hAnsi="Arial"/>
          <w:sz w:val="24"/>
          <w:szCs w:val="24"/>
        </w:rPr>
        <w:t xml:space="preserve">2) ознакомление с правовой и справочной информацией по реестру;</w:t>
      </w:r>
    </w:p>
    <w:p>
      <w:pPr>
        <w:spacing w:after="120"/>
        <w:jc w:val="both"/>
      </w:pPr>
      <w:r>
        <w:rPr>
          <w:rFonts w:ascii="Arial" w:cs="Arial" w:eastAsia="Arial" w:hAnsi="Arial"/>
          <w:sz w:val="24"/>
          <w:szCs w:val="24"/>
        </w:rPr>
        <w:t xml:space="preserve">3) просмотр информации о государственном имуществе, включенной в график выставления на торги объектов государственной собственности, в том числе отчетов по оценке рыночной стоимости имущества в электронном формате «Acrobat Reader», а также информационных сообщений о предстоящих торгах по приватизации государственного имущества, публикуемых в печатных средствах массовой информации;</w:t>
      </w:r>
    </w:p>
    <w:p>
      <w:pPr>
        <w:spacing w:after="120"/>
        <w:jc w:val="both"/>
      </w:pPr>
      <w:r>
        <w:rPr>
          <w:rFonts w:ascii="Arial" w:cs="Arial" w:eastAsia="Arial" w:hAnsi="Arial"/>
          <w:sz w:val="24"/>
          <w:szCs w:val="24"/>
        </w:rPr>
        <w:t xml:space="preserve">4) просмотр арендаторами, пользователями, доверительными управляющими государственного имущества информации по заключенным с ними договорам аренды, пользования и доверительного управления, в частности, по условиям договора, начислениям по такому договору, пене и перечисленным платежам в бюджет;</w:t>
      </w:r>
    </w:p>
    <w:p>
      <w:pPr>
        <w:spacing w:after="120"/>
        <w:jc w:val="both"/>
      </w:pPr>
      <w:r>
        <w:rPr>
          <w:rFonts w:ascii="Arial" w:cs="Arial" w:eastAsia="Arial" w:hAnsi="Arial"/>
          <w:sz w:val="24"/>
          <w:szCs w:val="24"/>
        </w:rPr>
        <w:t xml:space="preserve">5) просмотр планов развития и отчетов по исполнению планов развития организаций и государственных предприятий.</w:t>
      </w:r>
    </w:p>
    <w:p>
      <w:pPr>
        <w:spacing w:after="120"/>
        <w:jc w:val="both"/>
      </w:pPr>
      <w:r>
        <w:rPr>
          <w:rFonts w:ascii="Arial" w:cs="Arial" w:eastAsia="Arial" w:hAnsi="Arial"/>
          <w:sz w:val="24"/>
          <w:szCs w:val="24"/>
        </w:rPr>
        <w:t xml:space="preserve">47. Для государственных предприятий в реестре доступны следующие функции в отношении данного государственного предприятия:</w:t>
      </w:r>
    </w:p>
    <w:p>
      <w:pPr>
        <w:spacing w:after="120"/>
        <w:jc w:val="both"/>
      </w:pPr>
      <w:r>
        <w:rPr>
          <w:rFonts w:ascii="Arial" w:cs="Arial" w:eastAsia="Arial" w:hAnsi="Arial"/>
          <w:sz w:val="24"/>
          <w:szCs w:val="24"/>
        </w:rPr>
        <w:t xml:space="preserve">1) регистрация записей о:</w:t>
      </w:r>
    </w:p>
    <w:p>
      <w:pPr>
        <w:spacing w:after="120"/>
        <w:jc w:val="both"/>
      </w:pPr>
      <w:r>
        <w:rPr>
          <w:rFonts w:ascii="Arial" w:cs="Arial" w:eastAsia="Arial" w:hAnsi="Arial"/>
          <w:sz w:val="24"/>
          <w:szCs w:val="24"/>
        </w:rPr>
        <w:t xml:space="preserve">изменении контактных данных;</w:t>
      </w:r>
    </w:p>
    <w:p>
      <w:pPr>
        <w:spacing w:after="120"/>
        <w:jc w:val="both"/>
      </w:pPr>
      <w:r>
        <w:rPr>
          <w:rFonts w:ascii="Arial" w:cs="Arial" w:eastAsia="Arial" w:hAnsi="Arial"/>
          <w:sz w:val="24"/>
          <w:szCs w:val="24"/>
        </w:rPr>
        <w:t xml:space="preserve">проведении сделки с имуществом;</w:t>
      </w:r>
    </w:p>
    <w:p>
      <w:pPr>
        <w:spacing w:after="120"/>
        <w:jc w:val="both"/>
      </w:pPr>
      <w:r>
        <w:rPr>
          <w:rFonts w:ascii="Arial" w:cs="Arial" w:eastAsia="Arial" w:hAnsi="Arial"/>
          <w:sz w:val="24"/>
          <w:szCs w:val="24"/>
        </w:rPr>
        <w:t xml:space="preserve">2) просмотр статуса зарегистрированных записей:</w:t>
      </w:r>
    </w:p>
    <w:p>
      <w:pPr>
        <w:spacing w:after="120"/>
        <w:jc w:val="both"/>
      </w:pPr>
      <w:r>
        <w:rPr>
          <w:rFonts w:ascii="Arial" w:cs="Arial" w:eastAsia="Arial" w:hAnsi="Arial"/>
          <w:sz w:val="24"/>
          <w:szCs w:val="24"/>
        </w:rPr>
        <w:t xml:space="preserve">время и дата регистрации записей;</w:t>
      </w:r>
    </w:p>
    <w:p>
      <w:pPr>
        <w:spacing w:after="120"/>
        <w:jc w:val="both"/>
      </w:pPr>
      <w:r>
        <w:rPr>
          <w:rFonts w:ascii="Arial" w:cs="Arial" w:eastAsia="Arial" w:hAnsi="Arial"/>
          <w:sz w:val="24"/>
          <w:szCs w:val="24"/>
        </w:rPr>
        <w:t xml:space="preserve">время и дата исполнения зарегистрированных записей;</w:t>
      </w:r>
    </w:p>
    <w:p>
      <w:pPr>
        <w:spacing w:after="120"/>
        <w:jc w:val="both"/>
      </w:pPr>
      <w:r>
        <w:rPr>
          <w:rFonts w:ascii="Arial" w:cs="Arial" w:eastAsia="Arial" w:hAnsi="Arial"/>
          <w:sz w:val="24"/>
          <w:szCs w:val="24"/>
        </w:rPr>
        <w:t xml:space="preserve">результат исполнения записей.</w:t>
      </w:r>
    </w:p>
    <w:p>
      <w:pPr>
        <w:spacing w:after="120"/>
        <w:jc w:val="both"/>
      </w:pPr>
      <w:r>
        <w:rPr>
          <w:rFonts w:ascii="Arial" w:cs="Arial" w:eastAsia="Arial" w:hAnsi="Arial"/>
          <w:sz w:val="24"/>
          <w:szCs w:val="24"/>
        </w:rPr>
        <w:t xml:space="preserve">48. Для уполномоченного государственного органа соответствующей отрасли в реестре доступны следующие функции:</w:t>
      </w:r>
    </w:p>
    <w:p>
      <w:pPr>
        <w:spacing w:after="120"/>
        <w:jc w:val="both"/>
      </w:pPr>
      <w:r>
        <w:rPr>
          <w:rFonts w:ascii="Arial" w:cs="Arial" w:eastAsia="Arial" w:hAnsi="Arial"/>
          <w:sz w:val="24"/>
          <w:szCs w:val="24"/>
        </w:rPr>
        <w:t xml:space="preserve">1) просмотр перечней организаций и государственных предприятий, управление которыми осуществляется уполномоченным государственным  органом соответствующей отрасли, и информации по ним, включенной в дополнительный подраздел реестра;</w:t>
      </w:r>
    </w:p>
    <w:p>
      <w:pPr>
        <w:spacing w:after="120"/>
        <w:jc w:val="both"/>
      </w:pPr>
      <w:r>
        <w:rPr>
          <w:rFonts w:ascii="Arial" w:cs="Arial" w:eastAsia="Arial" w:hAnsi="Arial"/>
          <w:sz w:val="24"/>
          <w:szCs w:val="24"/>
        </w:rPr>
        <w:t xml:space="preserve">2) просмотр сохраненных и исполненных в реестре записей по имуществу государственных предприятий, управление которыми осуществляется уполномоченным государственным органом соответствующей отрасли;</w:t>
      </w:r>
    </w:p>
    <w:p>
      <w:pPr>
        <w:spacing w:after="120"/>
        <w:jc w:val="both"/>
      </w:pPr>
      <w:r>
        <w:rPr>
          <w:rFonts w:ascii="Arial" w:cs="Arial" w:eastAsia="Arial" w:hAnsi="Arial"/>
          <w:sz w:val="24"/>
          <w:szCs w:val="24"/>
        </w:rPr>
        <w:t xml:space="preserve">3) формирование отчетности по организациям и государственным предприятиям, управление которыми осуществляется уполномоченным государственным органом соответствующей отрасли.</w:t>
      </w:r>
    </w:p>
    <w:p>
      <w:pPr>
        <w:spacing w:after="120"/>
        <w:jc w:val="both"/>
      </w:pPr>
      <w:r>
        <w:rPr>
          <w:rFonts w:ascii="Arial" w:cs="Arial" w:eastAsia="Arial" w:hAnsi="Arial"/>
          <w:sz w:val="24"/>
          <w:szCs w:val="24"/>
        </w:rPr>
        <w:t xml:space="preserve">49. Для уполномоченного государственного органа по контролю за исполнением республиканского бюджета в реестре доступны следующие функции:</w:t>
      </w:r>
    </w:p>
    <w:p>
      <w:pPr>
        <w:spacing w:after="120"/>
        <w:jc w:val="both"/>
      </w:pPr>
      <w:r>
        <w:rPr>
          <w:rFonts w:ascii="Arial" w:cs="Arial" w:eastAsia="Arial" w:hAnsi="Arial"/>
          <w:sz w:val="24"/>
          <w:szCs w:val="24"/>
        </w:rPr>
        <w:t xml:space="preserve">1) просмотр перечней организаций и государственных предприятий, находящихся в государственной собственности и сведений по ним;</w:t>
      </w:r>
    </w:p>
    <w:p>
      <w:pPr>
        <w:spacing w:after="120"/>
        <w:jc w:val="both"/>
      </w:pPr>
      <w:r>
        <w:rPr>
          <w:rFonts w:ascii="Arial" w:cs="Arial" w:eastAsia="Arial" w:hAnsi="Arial"/>
          <w:sz w:val="24"/>
          <w:szCs w:val="24"/>
        </w:rPr>
        <w:t xml:space="preserve">2) формирование аналитической и статистической отчетности по государственному имуществу.</w:t>
      </w:r>
    </w:p>
    <w:p>
      <w:pPr>
        <w:spacing w:after="120"/>
        <w:jc w:val="both"/>
      </w:pPr>
      <w:r>
        <w:rPr>
          <w:rFonts w:ascii="Arial" w:cs="Arial" w:eastAsia="Arial" w:hAnsi="Arial"/>
          <w:sz w:val="24"/>
          <w:szCs w:val="24"/>
        </w:rPr>
        <w:t xml:space="preserve">50. Для уполномоченного государственного органа по экономическому развитию в реестре доступны следующие функции:</w:t>
      </w:r>
    </w:p>
    <w:p>
      <w:pPr>
        <w:spacing w:after="120"/>
        <w:jc w:val="both"/>
      </w:pPr>
      <w:r>
        <w:rPr>
          <w:rFonts w:ascii="Arial" w:cs="Arial" w:eastAsia="Arial" w:hAnsi="Arial"/>
          <w:sz w:val="24"/>
          <w:szCs w:val="24"/>
        </w:rPr>
        <w:t xml:space="preserve">1) просмотр перечней организаций и государственных предприятий, находящихся в государственной собственности, и сведений по ним;</w:t>
      </w:r>
    </w:p>
    <w:p>
      <w:pPr>
        <w:spacing w:after="120"/>
        <w:jc w:val="both"/>
      </w:pPr>
      <w:r>
        <w:rPr>
          <w:rFonts w:ascii="Arial" w:cs="Arial" w:eastAsia="Arial" w:hAnsi="Arial"/>
          <w:sz w:val="24"/>
          <w:szCs w:val="24"/>
        </w:rPr>
        <w:t xml:space="preserve">2) просмотр данных по всем объектам учета (сведений по организациям, государственным юридическим лицам и недвижимому имуществу, закрепленному за ними);</w:t>
      </w:r>
    </w:p>
    <w:p>
      <w:pPr>
        <w:spacing w:after="120"/>
        <w:jc w:val="both"/>
      </w:pPr>
      <w:r>
        <w:rPr>
          <w:rFonts w:ascii="Arial" w:cs="Arial" w:eastAsia="Arial" w:hAnsi="Arial"/>
          <w:sz w:val="24"/>
          <w:szCs w:val="24"/>
        </w:rPr>
        <w:t xml:space="preserve">3) просмотр планов развития и отчетов по исполнению планов развития организаций и государственных предприятий;</w:t>
      </w:r>
    </w:p>
    <w:p>
      <w:pPr>
        <w:spacing w:after="120"/>
        <w:jc w:val="both"/>
      </w:pPr>
      <w:r>
        <w:rPr>
          <w:rFonts w:ascii="Arial" w:cs="Arial" w:eastAsia="Arial" w:hAnsi="Arial"/>
          <w:sz w:val="24"/>
          <w:szCs w:val="24"/>
        </w:rPr>
        <w:t xml:space="preserve">4) формирование аналитической и статистической отчетности по государственному имуществу.</w:t>
      </w:r>
    </w:p>
    <w:p>
      <w:pPr>
        <w:spacing w:after="120"/>
        <w:jc w:val="both"/>
      </w:pPr>
      <w:r>
        <w:rPr>
          <w:rFonts w:ascii="Arial" w:cs="Arial" w:eastAsia="Arial" w:hAnsi="Arial"/>
          <w:sz w:val="24"/>
          <w:szCs w:val="24"/>
        </w:rPr>
        <w:t xml:space="preserve">51. Для уполномоченного государственного органа по управлению государственным имуществом в реестре доступны следующие функции:</w:t>
      </w:r>
    </w:p>
    <w:p>
      <w:pPr>
        <w:spacing w:after="120"/>
        <w:jc w:val="both"/>
      </w:pPr>
      <w:r>
        <w:rPr>
          <w:rFonts w:ascii="Arial" w:cs="Arial" w:eastAsia="Arial" w:hAnsi="Arial"/>
          <w:sz w:val="24"/>
          <w:szCs w:val="24"/>
        </w:rPr>
        <w:t xml:space="preserve">1) просмотр перечней организаций и государственных предприятий, находящихся в государственной собственности;</w:t>
      </w:r>
    </w:p>
    <w:p>
      <w:pPr>
        <w:spacing w:after="120"/>
        <w:jc w:val="both"/>
      </w:pPr>
      <w:r>
        <w:rPr>
          <w:rFonts w:ascii="Arial" w:cs="Arial" w:eastAsia="Arial" w:hAnsi="Arial"/>
          <w:sz w:val="24"/>
          <w:szCs w:val="24"/>
        </w:rPr>
        <w:t xml:space="preserve">2) внесение изменений и дополнений в дополнительный подраздел реестра по организациям и государственным предприятиям, в также юридическим лицам с государственным участием;</w:t>
      </w:r>
    </w:p>
    <w:p>
      <w:pPr>
        <w:spacing w:after="120"/>
        <w:jc w:val="both"/>
      </w:pPr>
      <w:r>
        <w:rPr>
          <w:rFonts w:ascii="Arial" w:cs="Arial" w:eastAsia="Arial" w:hAnsi="Arial"/>
          <w:sz w:val="24"/>
          <w:szCs w:val="24"/>
        </w:rPr>
        <w:t xml:space="preserve">3) исполнение записей на проведение сделок с имуществом государственных предприятий, отнесенным к государственной собственности;</w:t>
      </w:r>
    </w:p>
    <w:p>
      <w:pPr>
        <w:spacing w:after="120"/>
        <w:jc w:val="both"/>
      </w:pPr>
      <w:r>
        <w:rPr>
          <w:rFonts w:ascii="Arial" w:cs="Arial" w:eastAsia="Arial" w:hAnsi="Arial"/>
          <w:sz w:val="24"/>
          <w:szCs w:val="24"/>
        </w:rPr>
        <w:t xml:space="preserve">4) формирование аналитической и статистической отчетности по государственному имуществу, находящемуся в государственной собственности.</w:t>
      </w:r>
    </w:p>
    <w:p>
      <w:pPr>
        <w:spacing w:after="120"/>
        <w:jc w:val="both"/>
      </w:pPr>
      <w:r>
        <w:rPr>
          <w:rFonts w:ascii="Arial" w:cs="Arial" w:eastAsia="Arial" w:hAnsi="Arial"/>
          <w:sz w:val="24"/>
          <w:szCs w:val="24"/>
        </w:rPr>
        <w:t xml:space="preserve">52. Для органов местной государственной администрации, финансируемых из местного бюджета, наделенных полномочиями на осуществление прав владения и пользования государственными пакетами акций акционерных обществ и долями участия в обществах с ограниченной ответственностью, в реестре доступны следующие функции:</w:t>
      </w:r>
    </w:p>
    <w:p>
      <w:pPr>
        <w:spacing w:after="120"/>
        <w:jc w:val="both"/>
      </w:pPr>
      <w:r>
        <w:rPr>
          <w:rFonts w:ascii="Arial" w:cs="Arial" w:eastAsia="Arial" w:hAnsi="Arial"/>
          <w:sz w:val="24"/>
          <w:szCs w:val="24"/>
        </w:rPr>
        <w:t xml:space="preserve">1) просмотр перечней организаций и государственных предприятий, управление которыми осуществляется органами местной государственной администрации, финансируемыми из местного бюджета, и информации по ним, включенной в дополнительный подраздел реестра;</w:t>
      </w:r>
    </w:p>
    <w:p>
      <w:pPr>
        <w:spacing w:after="120"/>
        <w:jc w:val="both"/>
      </w:pPr>
      <w:r>
        <w:rPr>
          <w:rFonts w:ascii="Arial" w:cs="Arial" w:eastAsia="Arial" w:hAnsi="Arial"/>
          <w:sz w:val="24"/>
          <w:szCs w:val="24"/>
        </w:rPr>
        <w:t xml:space="preserve">2) просмотр сохраненных и исполненных в реестре записей по имуществу государственных предприятий, управление которыми осуществляется исполнительными органами, финансируемыми из местного бюджета;</w:t>
      </w:r>
    </w:p>
    <w:p>
      <w:pPr>
        <w:spacing w:after="120"/>
        <w:jc w:val="both"/>
      </w:pPr>
      <w:r>
        <w:rPr>
          <w:rFonts w:ascii="Arial" w:cs="Arial" w:eastAsia="Arial" w:hAnsi="Arial"/>
          <w:sz w:val="24"/>
          <w:szCs w:val="24"/>
        </w:rPr>
        <w:t xml:space="preserve">3) формирование отчетности по организациям и государственным юридическим лицам, управление которыми осуществляется органами местной государственной администраци, финансируемыми из местного бюджета.</w:t>
      </w:r>
    </w:p>
    <w:p>
      <w:pPr>
        <w:spacing w:after="120"/>
        <w:jc w:val="both"/>
      </w:pPr>
      <w:r>
        <w:rPr>
          <w:rFonts w:ascii="Arial" w:cs="Arial" w:eastAsia="Arial" w:hAnsi="Arial"/>
          <w:sz w:val="24"/>
          <w:szCs w:val="24"/>
        </w:rPr>
        <w:t xml:space="preserve">53. Доступ к реестру обеспечивается в круглосуточном режиме.</w:t>
      </w:r>
    </w:p>
    <w:p>
      <w:pPr>
        <w:spacing w:after="120"/>
        <w:jc w:val="both"/>
      </w:pPr>
      <w:r>
        <w:rPr>
          <w:rFonts w:ascii="Arial" w:cs="Arial" w:eastAsia="Arial" w:hAnsi="Arial"/>
          <w:sz w:val="24"/>
          <w:szCs w:val="24"/>
        </w:rPr>
        <w:t xml:space="preserve">54. Оператор ЕРГИ не позднее пяти рабочих дней уведомляет уполномоченный государственный орган по управлению государственным имуществом о планируемых технических перерывах в работе реестра с размещением такой информации на веб-портале реестра.</w:t>
      </w:r>
    </w:p>
    <w:p>
      <w:pPr>
        <w:spacing w:after="120"/>
        <w:jc w:val="both"/>
      </w:pPr>
      <w:r>
        <w:rPr>
          <w:rFonts w:ascii="Arial" w:cs="Arial" w:eastAsia="Arial" w:hAnsi="Arial"/>
          <w:sz w:val="24"/>
          <w:szCs w:val="24"/>
        </w:rPr>
        <w:t xml:space="preserve">55. Уполномоченные государственные органы соответствующих отраслей и органы местной государственной администраци по письменному запросу оператора ЕРГИ безвозмездно представляют запрашиваемые данные для актуализации и уточнения показателей основного и дополнительного подразделов реестра.</w:t>
      </w:r>
    </w:p>
    <w:p>
      <w:pPr>
        <w:spacing w:after="120"/>
        <w:jc w:val="both"/>
      </w:pPr>
      <w:r>
        <w:rPr>
          <w:rFonts w:ascii="Arial" w:cs="Arial" w:eastAsia="Arial" w:hAnsi="Arial"/>
          <w:sz w:val="24"/>
          <w:szCs w:val="24"/>
        </w:rPr>
        <w:t xml:space="preserve">56 Финансирование работ по обеспечению учета государственной собственности осуществляется уполномоченными государственными органами за счет средств республиканского бюджета или средств, привлеченных из иных источников, разрешенных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Требования к отчетности</w:t>
      </w:r>
    </w:p>
    <w:p>
      <w:pPr>
        <w:spacing w:after="120"/>
        <w:jc w:val="both"/>
      </w:pPr>
      <w:r>
        <w:rPr>
          <w:rFonts w:ascii="Arial" w:cs="Arial" w:eastAsia="Arial" w:hAnsi="Arial"/>
          <w:sz w:val="24"/>
          <w:szCs w:val="24"/>
        </w:rPr>
        <w:t xml:space="preserve">57. Сведения об объектах, учтенных в ЕРГИ на определенную дату, предоставляются в виде отчетов, формирующихся из информационной системы. Требования к отчетности не статичны, изменяются в соответствии с потребностями управления, требованиями вышестоящих лиц и государственных органов.</w:t>
      </w:r>
    </w:p>
    <w:p>
      <w:pPr>
        <w:spacing w:after="120"/>
        <w:jc w:val="both"/>
      </w:pPr>
      <w:r>
        <w:rPr>
          <w:rFonts w:ascii="Arial" w:cs="Arial" w:eastAsia="Arial" w:hAnsi="Arial"/>
          <w:sz w:val="24"/>
          <w:szCs w:val="24"/>
        </w:rPr>
        <w:t xml:space="preserve">58. Система ЕРГИ не опирается на заранее установленные отчеты, но вместо этого должна включать в себя гибкую подсистему генератора отчетов, чтобы функциональные пользователи могли создавать свои собственные формы отчетности посредством сортировки, группирования, фильтрации и обобщения полей из базы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Общие требования к составлению форм</w:t>
      </w:r>
    </w:p>
    <w:p>
      <w:pPr>
        <w:spacing w:after="120"/>
        <w:jc w:val="both"/>
      </w:pPr>
      <w:r>
        <w:rPr>
          <w:rFonts w:ascii="Arial" w:cs="Arial" w:eastAsia="Arial" w:hAnsi="Arial"/>
          <w:sz w:val="24"/>
          <w:szCs w:val="24"/>
        </w:rPr>
        <w:t xml:space="preserve">59. После проведения инвентаризации основных средств во всех формах, утвержденных настоящими методическими инструкциями предусматриваются соответствующие графы (поля) для ввода инвентарных номеров. Инвентарный номер каждого объекта, подлежащего инвентаризации согласно законодательству КР и внесенного в базу данных ЕРГИ, должен соответствовать инвентарному номеру, указанному бухгалтерской службой в инвентаризационной описи (сличительной ведомости), составленной по итогам последней инвентаризации.</w:t>
      </w:r>
    </w:p>
    <w:p>
      <w:pPr>
        <w:spacing w:after="120"/>
        <w:jc w:val="both"/>
      </w:pPr>
      <w:r>
        <w:rPr>
          <w:rFonts w:ascii="Arial" w:cs="Arial" w:eastAsia="Arial" w:hAnsi="Arial"/>
          <w:sz w:val="24"/>
          <w:szCs w:val="24"/>
        </w:rPr>
        <w:t xml:space="preserve">60. При изменении инвентарных номеров в результате очередной инвентаризации соответствующие изменения вносятся также в базу данных ЕРГИ путем актуализации сведений об объектах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ФОРМЫ И МЕТОДИЧЕСКИЕ ИНСТРУКЦИИ ПО ИХ ЗАПОЛНЕНИЮ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1</w:t>
      </w:r>
    </w:p>
    <w:p>
      <w:pPr>
        <w:spacing w:after="120"/>
        <w:jc w:val="both"/>
      </w:pPr>
      <w:r>
        <w:rPr>
          <w:rFonts w:ascii="Arial" w:cs="Arial" w:eastAsia="Arial" w:hAnsi="Arial"/>
          <w:sz w:val="24"/>
          <w:szCs w:val="24"/>
        </w:rPr>
        <w:t xml:space="preserve">к Методическим инструкциям по ведению ЕРГИ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государственным предприятиям, учреждениям, организациям, их филиалам и представительствам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716"/>
        <w:gridCol w:w="318"/>
        <w:gridCol w:w="578"/>
        <w:gridCol w:w="511"/>
        <w:gridCol w:w="656"/>
        <w:gridCol w:w="384"/>
        <w:gridCol w:w="384"/>
        <w:gridCol w:w="404"/>
        <w:gridCol w:w="404"/>
        <w:gridCol w:w="728"/>
        <w:gridCol w:w="634"/>
        <w:gridCol w:w="756"/>
        <w:gridCol w:w="756"/>
        <w:gridCol w:w="615"/>
        <w:gridCol w:w="529"/>
        <w:gridCol w:w="512"/>
        <w:gridCol w:w="512"/>
      </w:tblGrid>
      <w:tr>
        <w:tc>
          <w:tcPr>
            <w:tcW w:type="dxa" w:w="78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отраслевой информационной системе (регистрация, перерегистрация, реорганизация, ликвидация и др.) и дата ее проведения</w:t>
            </w:r>
          </w:p>
        </w:tc>
        <w:tc>
          <w:tcPr>
            <w:tcW w:type="dxa" w:w="7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3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гос. юр. лица</w:t>
            </w:r>
          </w:p>
        </w:tc>
        <w:tc>
          <w:tcPr>
            <w:tcW w:type="dxa" w:w="5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 юр. лица</w:t>
            </w:r>
          </w:p>
        </w:tc>
        <w:tc>
          <w:tcPr>
            <w:tcW w:type="dxa" w:w="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учреди-теля</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учредителя</w:t>
            </w:r>
          </w:p>
        </w:tc>
        <w:tc>
          <w:tcPr>
            <w:tcW w:type="dxa" w:w="7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первичной государст-венной регистрации</w:t>
            </w:r>
          </w:p>
        </w:tc>
        <w:tc>
          <w:tcPr>
            <w:tcW w:type="dxa" w:w="8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последней  государст-венной перерегист-рации</w:t>
            </w:r>
          </w:p>
        </w:tc>
        <w:tc>
          <w:tcPr>
            <w:tcW w:type="dxa" w:w="7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(индекс, область, район, населенный пункт, улица, номер дома, электронный адрес, номер телефона)</w:t>
            </w:r>
          </w:p>
        </w:tc>
        <w:tc>
          <w:tcPr>
            <w:tcW w:type="dxa" w:w="6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Отрасль (основной вид эко-номической деятель-ности)</w:t>
            </w:r>
          </w:p>
        </w:tc>
        <w:tc>
          <w:tcPr>
            <w:tcW w:type="dxa" w:w="7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гос. юр. лица</w:t>
            </w:r>
          </w:p>
        </w:tc>
        <w:tc>
          <w:tcPr>
            <w:tcW w:type="dxa" w:w="7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учредителя</w:t>
            </w:r>
          </w:p>
        </w:tc>
        <w:tc>
          <w:tcPr>
            <w:tcW w:type="dxa" w:w="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первого руководи-теля</w:t>
            </w:r>
          </w:p>
        </w:tc>
        <w:tc>
          <w:tcPr>
            <w:tcW w:type="dxa" w:w="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 первого руково-дителя</w:t>
            </w:r>
          </w:p>
        </w:tc>
        <w:tc>
          <w:tcPr>
            <w:tcW w:type="dxa" w:w="5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главного бухгал-тера</w:t>
            </w:r>
          </w:p>
        </w:tc>
        <w:tc>
          <w:tcPr>
            <w:tcW w:type="dxa" w:w="5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 главного бухгал-тера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6 («Наименование учредителя») выбирается соответствующий код ГО подотчетного лица из справочника Приложения № 3.</w:t>
      </w:r>
    </w:p>
    <w:p>
      <w:pPr>
        <w:spacing w:after="120"/>
        <w:jc w:val="both"/>
      </w:pPr>
      <w:r>
        <w:rPr>
          <w:rFonts w:ascii="Arial" w:cs="Arial" w:eastAsia="Arial" w:hAnsi="Arial"/>
          <w:sz w:val="24"/>
          <w:szCs w:val="24"/>
        </w:rPr>
        <w:t xml:space="preserve">В графе 11 («Местонахождение (…)») наименования административно-территориальных и территориальных единиц заполняются согласно Государственному классификатору систем обозначений объектов административно-территориальных и территориальных единиц Кыргызской Республики (ГК 002-2009).</w:t>
      </w:r>
    </w:p>
    <w:p>
      <w:pPr>
        <w:spacing w:after="120"/>
        <w:jc w:val="both"/>
      </w:pPr>
      <w:r>
        <w:rPr>
          <w:rFonts w:ascii="Arial" w:cs="Arial" w:eastAsia="Arial" w:hAnsi="Arial"/>
          <w:sz w:val="24"/>
          <w:szCs w:val="24"/>
        </w:rPr>
        <w:t xml:space="preserve">В графе 12 («Отрасль (основной вид экономической деятельности)») выбирается соответствующий код ОКПО.</w:t>
      </w:r>
    </w:p>
    <w:p>
      <w:pPr>
        <w:spacing w:after="120"/>
        <w:jc w:val="both"/>
      </w:pPr>
      <w:r>
        <w:rPr>
          <w:rFonts w:ascii="Arial" w:cs="Arial" w:eastAsia="Arial" w:hAnsi="Arial"/>
          <w:sz w:val="24"/>
          <w:szCs w:val="24"/>
        </w:rPr>
        <w:t xml:space="preserve">В графе 13 («Организационно-правовая форма гос. юр. лица») выбирается соответствующий классификационный код из справочника Приложения № 11.</w:t>
      </w:r>
    </w:p>
    <w:p>
      <w:pPr>
        <w:spacing w:after="120"/>
        <w:jc w:val="both"/>
      </w:pPr>
      <w:r>
        <w:rPr>
          <w:rFonts w:ascii="Arial" w:cs="Arial" w:eastAsia="Arial" w:hAnsi="Arial"/>
          <w:sz w:val="24"/>
          <w:szCs w:val="24"/>
        </w:rPr>
        <w:t xml:space="preserve">В графе 14 («Организационно-правовая форма учредителя») выбирается соответствующий классификационный код из справочника Приложения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2</w:t>
      </w:r>
    </w:p>
    <w:p>
      <w:pPr>
        <w:spacing w:after="240"/>
        <w:jc w:val="both"/>
      </w:pPr>
      <w:r>
        <w:rPr>
          <w:rFonts w:ascii="Arial" w:cs="Arial" w:eastAsia="Arial" w:hAnsi="Arial"/>
          <w:sz w:val="24"/>
          <w:szCs w:val="24"/>
        </w:rPr>
        <w:t xml:space="preserve">к Методическим инструкциям по ведению ЕРГИ Кыргызской Республики</w:t>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зданиям, зарегистрированным за государственными предприятими, учреждениями, организациями,
  их филиалами и представительствами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706"/>
        <w:gridCol w:w="608"/>
        <w:gridCol w:w="540"/>
        <w:gridCol w:w="442"/>
        <w:gridCol w:w="530"/>
        <w:gridCol w:w="529"/>
        <w:gridCol w:w="530"/>
        <w:gridCol w:w="441"/>
        <w:gridCol w:w="471"/>
        <w:gridCol w:w="471"/>
        <w:gridCol w:w="471"/>
        <w:gridCol w:w="442"/>
        <w:gridCol w:w="442"/>
        <w:gridCol w:w="442"/>
        <w:gridCol w:w="441"/>
        <w:gridCol w:w="530"/>
        <w:gridCol w:w="529"/>
        <w:gridCol w:w="530"/>
        <w:gridCol w:w="529"/>
      </w:tblGrid>
      <w:tr>
        <w:tc>
          <w:tcPr>
            <w:tcW w:type="dxa" w:w="5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7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правообла-дателя</w:t>
            </w:r>
          </w:p>
        </w:tc>
        <w:tc>
          <w:tcPr>
            <w:tcW w:type="dxa" w:w="5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право-обла-дателя</w:t>
            </w:r>
          </w:p>
        </w:tc>
        <w:tc>
          <w:tcPr>
            <w:tcW w:type="dxa" w:w="4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права</w:t>
            </w:r>
          </w:p>
        </w:tc>
        <w:tc>
          <w:tcPr>
            <w:tcW w:type="dxa" w:w="5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Вид недвижи-мого имущества</w:t>
            </w:r>
          </w:p>
        </w:tc>
        <w:tc>
          <w:tcPr>
            <w:tcW w:type="dxa" w:w="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здания</w:t>
            </w:r>
          </w:p>
        </w:tc>
        <w:tc>
          <w:tcPr>
            <w:tcW w:type="dxa" w:w="5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w:t>
            </w:r>
          </w:p>
        </w:tc>
        <w:tc>
          <w:tcPr>
            <w:tcW w:type="dxa" w:w="4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ЕНИ</w:t>
            </w:r>
          </w:p>
        </w:tc>
        <w:tc>
          <w:tcPr>
            <w:tcW w:type="dxa" w:w="14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Правоустанавливающий</w:t>
            </w:r>
          </w:p>
          <w:p>
            <w:pPr>
              <w:jc w:val="left"/>
            </w:pPr>
            <w:r>
              <w:rPr>
                <w:rFonts w:ascii="Arial" w:cs="Arial" w:eastAsia="Arial" w:hAnsi="Arial"/>
                <w:sz w:val="24"/>
                <w:szCs w:val="24"/>
              </w:rPr>
              <w:t xml:space="preserve">документ</w:t>
            </w:r>
          </w:p>
        </w:tc>
        <w:tc>
          <w:tcPr>
            <w:tcW w:type="dxa" w:w="132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Правоудостоверяющий</w:t>
            </w:r>
          </w:p>
          <w:p>
            <w:pPr>
              <w:jc w:val="left"/>
            </w:pPr>
            <w:r>
              <w:rPr>
                <w:rFonts w:ascii="Arial" w:cs="Arial" w:eastAsia="Arial" w:hAnsi="Arial"/>
                <w:sz w:val="24"/>
                <w:szCs w:val="24"/>
              </w:rPr>
              <w:t xml:space="preserve">документ</w:t>
            </w:r>
          </w:p>
        </w:tc>
        <w:tc>
          <w:tcPr>
            <w:tcW w:type="dxa" w:w="4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учета</w:t>
            </w:r>
          </w:p>
          <w:p>
            <w:pPr>
              <w:jc w:val="left"/>
            </w:pPr>
            <w:r>
              <w:rPr>
                <w:rFonts w:ascii="Arial" w:cs="Arial" w:eastAsia="Arial" w:hAnsi="Arial"/>
                <w:sz w:val="24"/>
                <w:szCs w:val="24"/>
              </w:rPr>
              <w:t xml:space="preserve">на балансе</w:t>
            </w:r>
          </w:p>
        </w:tc>
        <w:tc>
          <w:tcPr>
            <w:tcW w:type="dxa" w:w="5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ввода здания</w:t>
            </w:r>
          </w:p>
          <w:p>
            <w:pPr>
              <w:jc w:val="left"/>
            </w:pPr>
            <w:r>
              <w:rPr>
                <w:rFonts w:ascii="Arial" w:cs="Arial" w:eastAsia="Arial" w:hAnsi="Arial"/>
                <w:sz w:val="24"/>
                <w:szCs w:val="24"/>
              </w:rPr>
              <w:t xml:space="preserve">в экс-плуата-цию</w:t>
            </w:r>
          </w:p>
        </w:tc>
        <w:tc>
          <w:tcPr>
            <w:tcW w:type="dxa" w:w="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полезной службы здания</w:t>
            </w:r>
          </w:p>
          <w:p>
            <w:pPr>
              <w:jc w:val="left"/>
            </w:pPr>
            <w:r>
              <w:rPr>
                <w:rFonts w:ascii="Arial" w:cs="Arial" w:eastAsia="Arial" w:hAnsi="Arial"/>
                <w:sz w:val="24"/>
                <w:szCs w:val="24"/>
              </w:rPr>
              <w:t xml:space="preserve">(год)</w:t>
            </w:r>
          </w:p>
        </w:tc>
        <w:tc>
          <w:tcPr>
            <w:tcW w:type="dxa" w:w="5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w:t>
            </w:r>
          </w:p>
          <w:p>
            <w:pPr>
              <w:jc w:val="left"/>
            </w:pPr>
            <w:r>
              <w:rPr>
                <w:rFonts w:ascii="Arial" w:cs="Arial" w:eastAsia="Arial" w:hAnsi="Arial"/>
                <w:sz w:val="24"/>
                <w:szCs w:val="24"/>
              </w:rPr>
              <w:t xml:space="preserve">ный код ЕНИ (земель-ного участка)</w:t>
            </w:r>
          </w:p>
        </w:tc>
        <w:tc>
          <w:tcPr>
            <w:tcW w:type="dxa" w:w="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назначе-ние земель-ного участка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534"/>
        <w:gridCol w:w="534"/>
        <w:gridCol w:w="623"/>
        <w:gridCol w:w="534"/>
        <w:gridCol w:w="534"/>
        <w:gridCol w:w="623"/>
        <w:gridCol w:w="623"/>
        <w:gridCol w:w="623"/>
        <w:gridCol w:w="623"/>
        <w:gridCol w:w="623"/>
        <w:gridCol w:w="623"/>
        <w:gridCol w:w="625"/>
        <w:gridCol w:w="713"/>
        <w:gridCol w:w="623"/>
        <w:gridCol w:w="623"/>
        <w:gridCol w:w="534"/>
      </w:tblGrid>
      <w:tr>
        <w:tc>
          <w:tcPr>
            <w:tcW w:type="dxa" w:w="5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земель-ного участка застрой-ки (кв.м)</w:t>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застрой-ки</w:t>
            </w:r>
          </w:p>
          <w:p>
            <w:pPr>
              <w:jc w:val="left"/>
            </w:pPr>
            <w:r>
              <w:rPr>
                <w:rFonts w:ascii="Arial" w:cs="Arial" w:eastAsia="Arial" w:hAnsi="Arial"/>
                <w:sz w:val="24"/>
                <w:szCs w:val="24"/>
              </w:rPr>
              <w:t xml:space="preserve">(кв. м)</w:t>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Полез-ная площадь здания</w:t>
            </w:r>
          </w:p>
          <w:p>
            <w:pPr>
              <w:jc w:val="left"/>
            </w:pPr>
            <w:r>
              <w:rPr>
                <w:rFonts w:ascii="Arial" w:cs="Arial" w:eastAsia="Arial" w:hAnsi="Arial"/>
                <w:sz w:val="24"/>
                <w:szCs w:val="24"/>
              </w:rPr>
              <w:t xml:space="preserve">(кв. м)</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Пустую-щая (не-исполь-зуемая) полезная площадь здания</w:t>
            </w:r>
          </w:p>
          <w:p>
            <w:pPr>
              <w:jc w:val="left"/>
            </w:pPr>
            <w:r>
              <w:rPr>
                <w:rFonts w:ascii="Arial" w:cs="Arial" w:eastAsia="Arial" w:hAnsi="Arial"/>
                <w:sz w:val="24"/>
                <w:szCs w:val="24"/>
              </w:rPr>
              <w:t xml:space="preserve">(кв. м)</w:t>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Этаж-ность (коли-чество этажей)</w:t>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w:t>
            </w:r>
          </w:p>
          <w:p>
            <w:pPr>
              <w:jc w:val="left"/>
            </w:pPr>
            <w:r>
              <w:rPr>
                <w:rFonts w:ascii="Arial" w:cs="Arial" w:eastAsia="Arial" w:hAnsi="Arial"/>
                <w:sz w:val="24"/>
                <w:szCs w:val="24"/>
              </w:rPr>
              <w:t xml:space="preserve">(сом)</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Накоплен-ный износ на начало отчетного периода </w:t>
            </w:r>
          </w:p>
          <w:p>
            <w:pPr>
              <w:jc w:val="left"/>
            </w:pPr>
            <w:r>
              <w:rPr>
                <w:rFonts w:ascii="Arial" w:cs="Arial" w:eastAsia="Arial" w:hAnsi="Arial"/>
                <w:sz w:val="24"/>
                <w:szCs w:val="24"/>
              </w:rPr>
              <w:t xml:space="preserve">(сом)</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Начислен-ный износ за отчетный период (сом)</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за отчетный период (сом)</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срока полезной службы (год)</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(+))(сом)</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здания</w:t>
            </w:r>
          </w:p>
          <w:p>
            <w:pPr>
              <w:jc w:val="left"/>
            </w:pPr>
            <w:r>
              <w:rPr>
                <w:rFonts w:ascii="Arial" w:cs="Arial" w:eastAsia="Arial" w:hAnsi="Arial"/>
                <w:sz w:val="24"/>
                <w:szCs w:val="24"/>
              </w:rPr>
              <w:t xml:space="preserve">(сом)</w:t>
            </w:r>
          </w:p>
          <w:p>
            <w:pPr>
              <w:jc w:val="left"/>
            </w:pPr>
            <w:r>
              <w:rPr>
                <w:rFonts w:ascii="Arial" w:cs="Arial" w:eastAsia="Arial" w:hAnsi="Arial"/>
                <w:sz w:val="24"/>
                <w:szCs w:val="24"/>
              </w:rPr>
              <w:t xml:space="preserve"/>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объекта недвижи-мости (сом)</w:t>
            </w:r>
          </w:p>
        </w:tc>
        <w:tc>
          <w:tcPr>
            <w:tcW w:type="dxa" w:w="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обременений (залог, доверительное управление и др.)</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наличии ограничений</w:t>
            </w:r>
          </w:p>
          <w:p>
            <w:pPr>
              <w:jc w:val="left"/>
            </w:pPr>
            <w:r>
              <w:rPr>
                <w:rFonts w:ascii="Arial" w:cs="Arial" w:eastAsia="Arial" w:hAnsi="Arial"/>
                <w:sz w:val="24"/>
                <w:szCs w:val="24"/>
              </w:rPr>
              <w:t xml:space="preserve">(арест и др.)</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 правах, сделках, ограниче-ниях (обременениях)</w:t>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здания</w:t>
            </w:r>
          </w:p>
        </w:tc>
      </w:tr>
      <w:tr>
        <w:tc>
          <w:tcPr>
            <w:tcW w:type="dxa" w:w="5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5"/>
        <w:gridCol w:w="5323"/>
      </w:tblGrid>
      <w:tr>
        <w:tc>
          <w:tcPr>
            <w:tcW w:type="dxa" w:w="48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сдаваемая в аренду (кв.м.)</w:t>
            </w:r>
          </w:p>
        </w:tc>
        <w:tc>
          <w:tcPr>
            <w:tcW w:type="dxa" w:w="5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сдаваемый в аренду (кв.м.)</w:t>
            </w:r>
          </w:p>
        </w:tc>
      </w:tr>
      <w:tr>
        <w:tc>
          <w:tcPr>
            <w:tcW w:type="dxa" w:w="48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5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5 («Вид права») выбирается соответствующий классификационный код из справочника Приложения № 4.</w:t>
      </w:r>
    </w:p>
    <w:p>
      <w:pPr>
        <w:spacing w:after="120"/>
        <w:jc w:val="both"/>
      </w:pPr>
      <w:r>
        <w:rPr>
          <w:rFonts w:ascii="Arial" w:cs="Arial" w:eastAsia="Arial" w:hAnsi="Arial"/>
          <w:sz w:val="24"/>
          <w:szCs w:val="24"/>
        </w:rPr>
        <w:t xml:space="preserve">В графе 6 («Вид недвижимого имущества») выбирается соответствующий пятизначный (подкласс) код ГИ (а при невозможности выделения подкласса – четырехзначный (класс) код ГИ) из Приложения № 1 Классификатора (коды из раздела 1, группы 111-217).</w:t>
      </w:r>
    </w:p>
    <w:p>
      <w:pPr>
        <w:spacing w:after="120"/>
        <w:jc w:val="both"/>
      </w:pPr>
      <w:r>
        <w:rPr>
          <w:rFonts w:ascii="Arial" w:cs="Arial" w:eastAsia="Arial" w:hAnsi="Arial"/>
          <w:sz w:val="24"/>
          <w:szCs w:val="24"/>
        </w:rPr>
        <w:t xml:space="preserve">В графе 10 («Наименование правоустанавливающего документа») выбирается соответствующий классификационный код из справочника Приложения № 12 (один из кодов 11000-11099).</w:t>
      </w:r>
    </w:p>
    <w:p>
      <w:pPr>
        <w:spacing w:after="120"/>
        <w:jc w:val="both"/>
      </w:pPr>
      <w:r>
        <w:rPr>
          <w:rFonts w:ascii="Arial" w:cs="Arial" w:eastAsia="Arial" w:hAnsi="Arial"/>
          <w:sz w:val="24"/>
          <w:szCs w:val="24"/>
        </w:rPr>
        <w:t xml:space="preserve">В графе 13 («Наименование правоудостоверяющего документа») выбирается соответствующий классификационный код из справочника Приложения № 12 (один из кодов 12000-12099).</w:t>
      </w:r>
    </w:p>
    <w:p>
      <w:pPr>
        <w:spacing w:after="120"/>
        <w:jc w:val="both"/>
      </w:pPr>
      <w:r>
        <w:rPr>
          <w:rFonts w:ascii="Arial" w:cs="Arial" w:eastAsia="Arial" w:hAnsi="Arial"/>
          <w:sz w:val="24"/>
          <w:szCs w:val="24"/>
        </w:rPr>
        <w:t xml:space="preserve">В графе 20 («Целевое назначение земельного участка») выбирается соответствующий классификационный код из справочника Приложения № 8.</w:t>
      </w:r>
    </w:p>
    <w:p>
      <w:pPr>
        <w:spacing w:after="120"/>
        <w:jc w:val="both"/>
      </w:pPr>
      <w:r>
        <w:rPr>
          <w:rFonts w:ascii="Arial" w:cs="Arial" w:eastAsia="Arial" w:hAnsi="Arial"/>
          <w:sz w:val="24"/>
          <w:szCs w:val="24"/>
        </w:rPr>
        <w:t xml:space="preserve">В графе 34 («Сведения о наличии обременений (залог, доверительное управление и др.)»)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35 («Сведения о наличии ограничений (арест и др.)»)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В графе 36 («Документы о правах, сделках, ограничениях (обременениях)») выбирается соответствующий классификационный код из справочника Приложения № 12.</w:t>
      </w:r>
    </w:p>
    <w:p>
      <w:pPr>
        <w:spacing w:after="120"/>
        <w:jc w:val="both"/>
      </w:pPr>
      <w:r>
        <w:rPr>
          <w:rFonts w:ascii="Arial" w:cs="Arial" w:eastAsia="Arial" w:hAnsi="Arial"/>
          <w:sz w:val="24"/>
          <w:szCs w:val="24"/>
        </w:rPr>
        <w:t xml:space="preserve">В графе 37 («Техническое состояние здания»)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земельным участкам, находящимся в землепользовании у государственных предприятий,</w:t>
      </w:r>
    </w:p>
    <w:p>
      <w:pPr>
        <w:spacing w:after="120"/>
        <w:jc w:val="both"/>
      </w:pPr>
      <w:r>
        <w:rPr>
          <w:rFonts w:ascii="Arial" w:cs="Arial" w:eastAsia="Arial" w:hAnsi="Arial"/>
          <w:sz w:val="24"/>
          <w:szCs w:val="24"/>
        </w:rPr>
        <w:t xml:space="preserve">учреждений, организаций, их филиалов и 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636"/>
        <w:gridCol w:w="636"/>
        <w:gridCol w:w="546"/>
        <w:gridCol w:w="636"/>
        <w:gridCol w:w="818"/>
        <w:gridCol w:w="727"/>
        <w:gridCol w:w="818"/>
        <w:gridCol w:w="636"/>
        <w:gridCol w:w="515"/>
        <w:gridCol w:w="515"/>
        <w:gridCol w:w="515"/>
        <w:gridCol w:w="575"/>
        <w:gridCol w:w="575"/>
        <w:gridCol w:w="575"/>
      </w:tblGrid>
      <w:tr>
        <w:tc>
          <w:tcPr>
            <w:tcW w:type="dxa" w:w="7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7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правообла-дателя</w:t>
            </w:r>
          </w:p>
        </w:tc>
        <w:tc>
          <w:tcPr>
            <w:tcW w:type="dxa" w:w="6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правообла-дателя</w:t>
            </w:r>
          </w:p>
        </w:tc>
        <w:tc>
          <w:tcPr>
            <w:tcW w:type="dxa" w:w="5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права</w:t>
            </w:r>
          </w:p>
        </w:tc>
        <w:tc>
          <w:tcPr>
            <w:tcW w:type="dxa" w:w="6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назначение земельного участка</w:t>
            </w:r>
          </w:p>
        </w:tc>
        <w:tc>
          <w:tcPr>
            <w:tcW w:type="dxa" w:w="7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 (земельного участка)</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идентифика-ционный код ЕНИ (земельного участка)</w:t>
            </w:r>
          </w:p>
        </w:tc>
        <w:tc>
          <w:tcPr>
            <w:tcW w:type="dxa" w:w="6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ЕНИ</w:t>
            </w:r>
          </w:p>
        </w:tc>
        <w:tc>
          <w:tcPr>
            <w:tcW w:type="dxa" w:w="154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Правоустанавливающий</w:t>
            </w:r>
          </w:p>
          <w:p>
            <w:pPr>
              <w:jc w:val="left"/>
            </w:pPr>
            <w:r>
              <w:rPr>
                <w:rFonts w:ascii="Arial" w:cs="Arial" w:eastAsia="Arial" w:hAnsi="Arial"/>
                <w:sz w:val="24"/>
                <w:szCs w:val="24"/>
              </w:rPr>
              <w:t xml:space="preserve"> документ</w:t>
            </w:r>
          </w:p>
        </w:tc>
        <w:tc>
          <w:tcPr>
            <w:tcW w:type="dxa" w:w="172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Правоудостоверяющий</w:t>
            </w:r>
          </w:p>
          <w:p>
            <w:pPr>
              <w:jc w:val="left"/>
            </w:pPr>
            <w:r>
              <w:rPr>
                <w:rFonts w:ascii="Arial" w:cs="Arial" w:eastAsia="Arial" w:hAnsi="Arial"/>
                <w:sz w:val="24"/>
                <w:szCs w:val="24"/>
              </w:rPr>
              <w:t xml:space="preserve">документ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9"/>
        <w:gridCol w:w="909"/>
        <w:gridCol w:w="909"/>
        <w:gridCol w:w="909"/>
        <w:gridCol w:w="818"/>
        <w:gridCol w:w="999"/>
        <w:gridCol w:w="909"/>
        <w:gridCol w:w="909"/>
        <w:gridCol w:w="818"/>
        <w:gridCol w:w="999"/>
        <w:gridCol w:w="1090"/>
      </w:tblGrid>
      <w:tr>
        <w:tc>
          <w:tcPr>
            <w:tcW w:type="dxa" w:w="9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земельного участка (кв.м.)</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земельного участка (сом)</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земельного участка (сом)</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Зональные коэффициенты</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за отчетный период (сом)</w:t>
            </w:r>
          </w:p>
        </w:tc>
        <w:tc>
          <w:tcPr>
            <w:tcW w:type="dxa" w:w="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w:t>
            </w:r>
          </w:p>
          <w:p>
            <w:pPr>
              <w:jc w:val="left"/>
            </w:pPr>
            <w:r>
              <w:rPr>
                <w:rFonts w:ascii="Arial" w:cs="Arial" w:eastAsia="Arial" w:hAnsi="Arial"/>
                <w:sz w:val="24"/>
                <w:szCs w:val="24"/>
              </w:rPr>
              <w:t xml:space="preserve">(сом)</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земельного участка (сом)</w:t>
            </w:r>
          </w:p>
          <w:p>
            <w:pPr>
              <w:jc w:val="left"/>
            </w:pPr>
            <w:r>
              <w:rPr>
                <w:rFonts w:ascii="Arial" w:cs="Arial" w:eastAsia="Arial" w:hAnsi="Arial"/>
                <w:sz w:val="24"/>
                <w:szCs w:val="24"/>
              </w:rPr>
              <w:t xml:space="preserve"/>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наличии обременений</w:t>
            </w:r>
          </w:p>
          <w:p>
            <w:pPr>
              <w:jc w:val="left"/>
            </w:pPr>
            <w:r>
              <w:rPr>
                <w:rFonts w:ascii="Arial" w:cs="Arial" w:eastAsia="Arial" w:hAnsi="Arial"/>
                <w:sz w:val="24"/>
                <w:szCs w:val="24"/>
              </w:rPr>
              <w:t xml:space="preserve">(залог, доверительное управление и др.)</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наличии</w:t>
            </w:r>
          </w:p>
          <w:p>
            <w:pPr>
              <w:jc w:val="left"/>
            </w:pPr>
            <w:r>
              <w:rPr>
                <w:rFonts w:ascii="Arial" w:cs="Arial" w:eastAsia="Arial" w:hAnsi="Arial"/>
                <w:sz w:val="24"/>
                <w:szCs w:val="24"/>
              </w:rPr>
              <w:t xml:space="preserve">ограничений</w:t>
            </w:r>
          </w:p>
          <w:p>
            <w:pPr>
              <w:jc w:val="left"/>
            </w:pPr>
            <w:r>
              <w:rPr>
                <w:rFonts w:ascii="Arial" w:cs="Arial" w:eastAsia="Arial" w:hAnsi="Arial"/>
                <w:sz w:val="24"/>
                <w:szCs w:val="24"/>
              </w:rPr>
              <w:t xml:space="preserve">(арест и др.)</w:t>
            </w:r>
          </w:p>
        </w:tc>
        <w:tc>
          <w:tcPr>
            <w:tcW w:type="dxa" w:w="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 правах, сделках, ограничениях (обременениях)</w:t>
            </w:r>
          </w:p>
        </w:tc>
        <w:tc>
          <w:tcPr>
            <w:tcW w:type="dxa" w:w="1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 использовании земельного участка</w:t>
            </w:r>
          </w:p>
        </w:tc>
      </w:tr>
      <w:tr>
        <w:tc>
          <w:tcPr>
            <w:tcW w:type="dxa" w:w="9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9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использования земельного участка</w:t>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используется балансодержателем (кв.м)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сдается в аренду (кв.м.)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передано в безвозмездное пользование (кв.м.)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 свободная (кв.м.)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5 («Вид права») выбирается соответствующий классификационный код из справочника Приложения № 4.</w:t>
      </w:r>
    </w:p>
    <w:p>
      <w:pPr>
        <w:spacing w:after="120"/>
        <w:jc w:val="both"/>
      </w:pPr>
      <w:r>
        <w:rPr>
          <w:rFonts w:ascii="Arial" w:cs="Arial" w:eastAsia="Arial" w:hAnsi="Arial"/>
          <w:sz w:val="24"/>
          <w:szCs w:val="24"/>
        </w:rPr>
        <w:t xml:space="preserve">В графе 6 («Категория земель») выбирается соответствующий классификационный код из справочника Приложения № 7.</w:t>
      </w:r>
    </w:p>
    <w:p>
      <w:pPr>
        <w:spacing w:after="120"/>
        <w:jc w:val="both"/>
      </w:pPr>
      <w:r>
        <w:rPr>
          <w:rFonts w:ascii="Arial" w:cs="Arial" w:eastAsia="Arial" w:hAnsi="Arial"/>
          <w:sz w:val="24"/>
          <w:szCs w:val="24"/>
        </w:rPr>
        <w:t xml:space="preserve">В графе 7 («Целевое назначение земельного участка») выбирается соответствующий классификационный код из справочника Приложения № 8.</w:t>
      </w:r>
    </w:p>
    <w:p>
      <w:pPr>
        <w:spacing w:after="120"/>
        <w:jc w:val="both"/>
      </w:pPr>
      <w:r>
        <w:rPr>
          <w:rFonts w:ascii="Arial" w:cs="Arial" w:eastAsia="Arial" w:hAnsi="Arial"/>
          <w:sz w:val="24"/>
          <w:szCs w:val="24"/>
        </w:rPr>
        <w:t xml:space="preserve">В графе 11 («Наименование правоустанавливающего документа») выбирается соответствующий классификационный код из справочника Приложения № 12 (один из кодов 11000-11099).</w:t>
      </w:r>
    </w:p>
    <w:p>
      <w:pPr>
        <w:spacing w:after="120"/>
        <w:jc w:val="both"/>
      </w:pPr>
      <w:r>
        <w:rPr>
          <w:rFonts w:ascii="Arial" w:cs="Arial" w:eastAsia="Arial" w:hAnsi="Arial"/>
          <w:sz w:val="24"/>
          <w:szCs w:val="24"/>
        </w:rPr>
        <w:t xml:space="preserve">В графе 14 («Наименование правоудостоверяющего документа») выбирается соответствующий классификационный код из справочника Приложения № 12 (один из кодов 12000-12099).</w:t>
      </w:r>
    </w:p>
    <w:p>
      <w:pPr>
        <w:spacing w:after="120"/>
        <w:jc w:val="both"/>
      </w:pPr>
      <w:r>
        <w:rPr>
          <w:rFonts w:ascii="Arial" w:cs="Arial" w:eastAsia="Arial" w:hAnsi="Arial"/>
          <w:sz w:val="24"/>
          <w:szCs w:val="24"/>
        </w:rPr>
        <w:t xml:space="preserve">В графе 24 («Сведения о наличии обременений»)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25 («Сведения о наличии ограничений»)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В графе 26 («Документы о правах, сделках, ограничениях (обременениях)») выбирается соответствующий классификационный код из справочника Приложения № 12.</w:t>
      </w:r>
    </w:p>
    <w:p>
      <w:pPr>
        <w:spacing w:after="120"/>
        <w:jc w:val="both"/>
      </w:pPr>
      <w:r>
        <w:rPr>
          <w:rFonts w:ascii="Arial" w:cs="Arial" w:eastAsia="Arial" w:hAnsi="Arial"/>
          <w:sz w:val="24"/>
          <w:szCs w:val="24"/>
        </w:rPr>
        <w:t xml:space="preserve">В графе 27 («Запись об использовании земельного участка») выбирается один из двух вариантов:  1- используется, 2- не используется.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4</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по инженерным сооружениям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
        <w:gridCol w:w="725"/>
        <w:gridCol w:w="544"/>
        <w:gridCol w:w="635"/>
        <w:gridCol w:w="544"/>
        <w:gridCol w:w="725"/>
        <w:gridCol w:w="725"/>
        <w:gridCol w:w="634"/>
        <w:gridCol w:w="634"/>
        <w:gridCol w:w="725"/>
        <w:gridCol w:w="816"/>
        <w:gridCol w:w="725"/>
        <w:gridCol w:w="725"/>
        <w:gridCol w:w="725"/>
        <w:gridCol w:w="726"/>
      </w:tblGrid>
      <w:tr>
        <w:tc>
          <w:tcPr>
            <w:tcW w:type="dxa" w:w="5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гос. юр. лица</w:t>
            </w:r>
          </w:p>
        </w:tc>
        <w:tc>
          <w:tcPr>
            <w:tcW w:type="dxa" w:w="6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юр. лица (пред-приятия)</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инженер-ного сооруже-ния</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w:t>
            </w:r>
          </w:p>
          <w:p>
            <w:pPr>
              <w:jc w:val="left"/>
            </w:pPr>
            <w:r>
              <w:rPr>
                <w:rFonts w:ascii="Arial" w:cs="Arial" w:eastAsia="Arial" w:hAnsi="Arial"/>
                <w:sz w:val="24"/>
                <w:szCs w:val="24"/>
              </w:rPr>
              <w:t xml:space="preserve">(адрес)</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соору-жения</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учета</w:t>
            </w:r>
          </w:p>
          <w:p>
            <w:pPr>
              <w:jc w:val="left"/>
            </w:pPr>
            <w:r>
              <w:rPr>
                <w:rFonts w:ascii="Arial" w:cs="Arial" w:eastAsia="Arial" w:hAnsi="Arial"/>
                <w:sz w:val="24"/>
                <w:szCs w:val="24"/>
              </w:rPr>
              <w:t xml:space="preserve">на балансе юр. лица (пред-приятия)</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ввода в эксплуа-тацию</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характе-ристики</w:t>
            </w:r>
          </w:p>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площадь, длина/ высота,</w:t>
            </w:r>
          </w:p>
          <w:p>
            <w:pPr>
              <w:jc w:val="left"/>
            </w:pPr>
            <w:r>
              <w:rPr>
                <w:rFonts w:ascii="Arial" w:cs="Arial" w:eastAsia="Arial" w:hAnsi="Arial"/>
                <w:sz w:val="24"/>
                <w:szCs w:val="24"/>
              </w:rPr>
              <w:t xml:space="preserve">глубина, диаметр,</w:t>
            </w:r>
          </w:p>
          <w:p>
            <w:pPr>
              <w:jc w:val="left"/>
            </w:pPr>
            <w:r>
              <w:rPr>
                <w:rFonts w:ascii="Arial" w:cs="Arial" w:eastAsia="Arial" w:hAnsi="Arial"/>
                <w:sz w:val="24"/>
                <w:szCs w:val="24"/>
              </w:rPr>
              <w:t xml:space="preserve">др.)</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Eдиница измерения</w:t>
            </w:r>
          </w:p>
          <w:p>
            <w:pPr>
              <w:jc w:val="left"/>
            </w:pPr>
            <w:r>
              <w:rPr>
                <w:rFonts w:ascii="Arial" w:cs="Arial" w:eastAsia="Arial" w:hAnsi="Arial"/>
                <w:sz w:val="24"/>
                <w:szCs w:val="24"/>
              </w:rPr>
              <w:t xml:space="preserve">(куб.м.,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км., м., мм.</w:t>
            </w:r>
          </w:p>
          <w:p>
            <w:pPr>
              <w:jc w:val="left"/>
            </w:pPr>
            <w:r>
              <w:rPr>
                <w:rFonts w:ascii="Arial" w:cs="Arial" w:eastAsia="Arial" w:hAnsi="Arial"/>
                <w:sz w:val="24"/>
                <w:szCs w:val="24"/>
              </w:rPr>
              <w:t xml:space="preserve">и др.)</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Числовое значение</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параметры (мощность, производи-тельность, мест, др.)</w:t>
            </w:r>
          </w:p>
        </w:tc>
        <w:tc>
          <w:tcPr>
            <w:tcW w:type="dxa" w:w="7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Eдиница измерения (тонна, шт., л., и др.)</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1"/>
        <w:gridCol w:w="957"/>
        <w:gridCol w:w="862"/>
        <w:gridCol w:w="1053"/>
        <w:gridCol w:w="958"/>
        <w:gridCol w:w="862"/>
        <w:gridCol w:w="861"/>
        <w:gridCol w:w="1053"/>
        <w:gridCol w:w="957"/>
        <w:gridCol w:w="766"/>
        <w:gridCol w:w="958"/>
      </w:tblGrid>
      <w:tr>
        <w:tc>
          <w:tcPr>
            <w:tcW w:type="dxa" w:w="8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Числовое значение</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полезной службы</w:t>
            </w:r>
          </w:p>
          <w:p>
            <w:pPr>
              <w:jc w:val="left"/>
            </w:pPr>
            <w:r>
              <w:rPr>
                <w:rFonts w:ascii="Arial" w:cs="Arial" w:eastAsia="Arial" w:hAnsi="Arial"/>
                <w:sz w:val="24"/>
                <w:szCs w:val="24"/>
              </w:rPr>
              <w:t xml:space="preserve">(год)</w:t>
            </w:r>
          </w:p>
        </w:tc>
        <w:tc>
          <w:tcPr>
            <w:tcW w:type="dxa" w:w="8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w:t>
            </w:r>
          </w:p>
          <w:p>
            <w:pPr>
              <w:jc w:val="left"/>
            </w:pPr>
            <w:r>
              <w:rPr>
                <w:rFonts w:ascii="Arial" w:cs="Arial" w:eastAsia="Arial" w:hAnsi="Arial"/>
                <w:sz w:val="24"/>
                <w:szCs w:val="24"/>
              </w:rPr>
              <w:t xml:space="preserve">(сом)</w:t>
            </w:r>
          </w:p>
        </w:tc>
        <w:tc>
          <w:tcPr>
            <w:tcW w:type="dxa" w:w="10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Накопленный износ на начало отчетного периода </w:t>
            </w:r>
          </w:p>
          <w:p>
            <w:pPr>
              <w:jc w:val="left"/>
            </w:pPr>
            <w:r>
              <w:rPr>
                <w:rFonts w:ascii="Arial" w:cs="Arial" w:eastAsia="Arial" w:hAnsi="Arial"/>
                <w:sz w:val="24"/>
                <w:szCs w:val="24"/>
              </w:rPr>
              <w:t xml:space="preserve">(сом)</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Начисленный износ за отчетный период</w:t>
            </w:r>
          </w:p>
          <w:p>
            <w:pPr>
              <w:jc w:val="left"/>
            </w:pPr>
            <w:r>
              <w:rPr>
                <w:rFonts w:ascii="Arial" w:cs="Arial" w:eastAsia="Arial" w:hAnsi="Arial"/>
                <w:sz w:val="24"/>
                <w:szCs w:val="24"/>
              </w:rPr>
              <w:t xml:space="preserve">(сом)</w:t>
            </w:r>
          </w:p>
          <w:p>
            <w:pPr>
              <w:jc w:val="left"/>
            </w:pPr>
            <w:r>
              <w:rPr>
                <w:rFonts w:ascii="Arial" w:cs="Arial" w:eastAsia="Arial" w:hAnsi="Arial"/>
                <w:sz w:val="24"/>
                <w:szCs w:val="24"/>
              </w:rPr>
              <w:t xml:space="preserve"/>
            </w:r>
          </w:p>
        </w:tc>
        <w:tc>
          <w:tcPr>
            <w:tcW w:type="dxa" w:w="8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на  отчетный период</w:t>
            </w:r>
          </w:p>
          <w:p>
            <w:pPr>
              <w:jc w:val="left"/>
            </w:pPr>
            <w:r>
              <w:rPr>
                <w:rFonts w:ascii="Arial" w:cs="Arial" w:eastAsia="Arial" w:hAnsi="Arial"/>
                <w:sz w:val="24"/>
                <w:szCs w:val="24"/>
              </w:rPr>
              <w:t xml:space="preserve">(сом) </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срока полезной службы (год)</w:t>
            </w:r>
          </w:p>
        </w:tc>
        <w:tc>
          <w:tcPr>
            <w:tcW w:type="dxa" w:w="10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 (сом)</w:t>
            </w:r>
          </w:p>
        </w:tc>
        <w:tc>
          <w:tcPr>
            <w:tcW w:type="dxa" w:w="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инженерного сооружения (сом)</w:t>
            </w:r>
          </w:p>
          <w:p>
            <w:pPr>
              <w:jc w:val="left"/>
            </w:pPr>
            <w:r>
              <w:rPr>
                <w:rFonts w:ascii="Arial" w:cs="Arial" w:eastAsia="Arial" w:hAnsi="Arial"/>
                <w:sz w:val="24"/>
                <w:szCs w:val="24"/>
              </w:rPr>
              <w:t xml:space="preserve"/>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(сом)</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инженерного сооружения</w:t>
            </w:r>
          </w:p>
        </w:tc>
      </w:tr>
      <w:tr>
        <w:tc>
          <w:tcPr>
            <w:tcW w:type="dxa" w:w="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8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1623"/>
        <w:gridCol w:w="1623"/>
        <w:gridCol w:w="1770"/>
        <w:gridCol w:w="1770"/>
        <w:gridCol w:w="1770"/>
      </w:tblGrid>
      <w:tr>
        <w:tc>
          <w:tcPr>
            <w:tcW w:type="dxa" w:w="486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Правоустанавливающий</w:t>
            </w:r>
          </w:p>
          <w:p>
            <w:pPr>
              <w:jc w:val="left"/>
            </w:pPr>
            <w:r>
              <w:rPr>
                <w:rFonts w:ascii="Arial" w:cs="Arial" w:eastAsia="Arial" w:hAnsi="Arial"/>
                <w:sz w:val="24"/>
                <w:szCs w:val="24"/>
              </w:rPr>
              <w:t xml:space="preserve"> документ</w:t>
            </w:r>
          </w:p>
          <w:p>
            <w:pPr>
              <w:jc w:val="left"/>
            </w:pPr>
            <w:r>
              <w:rPr>
                <w:rFonts w:ascii="Arial" w:cs="Arial" w:eastAsia="Arial" w:hAnsi="Arial"/>
                <w:sz w:val="24"/>
                <w:szCs w:val="24"/>
              </w:rPr>
              <w:t xml:space="preserve"/>
            </w:r>
          </w:p>
        </w:tc>
        <w:tc>
          <w:tcPr>
            <w:tcW w:type="dxa" w:w="531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Правоудостоверяющий</w:t>
            </w:r>
          </w:p>
          <w:p>
            <w:pPr>
              <w:jc w:val="left"/>
            </w:pPr>
            <w:r>
              <w:rPr>
                <w:rFonts w:ascii="Arial" w:cs="Arial" w:eastAsia="Arial" w:hAnsi="Arial"/>
                <w:sz w:val="24"/>
                <w:szCs w:val="24"/>
              </w:rPr>
              <w:t xml:space="preserve">документ</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1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1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7 («Местонахождение (адрес)») наименования административно-территориальных и территориальных единиц заполняются согласно Государственному классификатору систем обозначений объектов административно-территориальных и территориальных единиц Кыргызской Республики (ГК 002-2009).</w:t>
      </w:r>
    </w:p>
    <w:p>
      <w:pPr>
        <w:spacing w:after="120"/>
        <w:jc w:val="both"/>
      </w:pPr>
      <w:r>
        <w:rPr>
          <w:rFonts w:ascii="Arial" w:cs="Arial" w:eastAsia="Arial" w:hAnsi="Arial"/>
          <w:sz w:val="24"/>
          <w:szCs w:val="24"/>
        </w:rPr>
        <w:t xml:space="preserve">В графе 8 («Вид сооружения») выбирается соответствующий пятизначный (подкласс) код ГИ (а при невозможности выделения подкласса – четырехзначный (класс) код ГИ) из Приложения № 1 Классификатора (коды из раздела 2, подраздела 22).</w:t>
      </w:r>
    </w:p>
    <w:p>
      <w:pPr>
        <w:spacing w:after="120"/>
        <w:jc w:val="both"/>
      </w:pPr>
      <w:r>
        <w:rPr>
          <w:rFonts w:ascii="Arial" w:cs="Arial" w:eastAsia="Arial" w:hAnsi="Arial"/>
          <w:sz w:val="24"/>
          <w:szCs w:val="24"/>
        </w:rPr>
        <w:t xml:space="preserve">В графе 26 «Техническое состояние инженерного сооружения»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В графе 27 («Наименование правоустанавливающего документа») выбирается соответствующий классификационный код из справочника Приложения № 12 (один из кодов 11000-11099).</w:t>
      </w:r>
    </w:p>
    <w:p>
      <w:pPr>
        <w:spacing w:after="120"/>
        <w:jc w:val="both"/>
      </w:pPr>
      <w:r>
        <w:rPr>
          <w:rFonts w:ascii="Arial" w:cs="Arial" w:eastAsia="Arial" w:hAnsi="Arial"/>
          <w:sz w:val="24"/>
          <w:szCs w:val="24"/>
        </w:rPr>
        <w:t xml:space="preserve">В графе 30 («Наименование правоудостоверяющего документа») выбирается соответствующий классификационный код из справочника Приложения № 12 (один из кодов 12000-12099).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5</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объектам незавершенного строительства (ОНС)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808"/>
        <w:gridCol w:w="539"/>
        <w:gridCol w:w="538"/>
        <w:gridCol w:w="539"/>
        <w:gridCol w:w="718"/>
        <w:gridCol w:w="629"/>
        <w:gridCol w:w="629"/>
        <w:gridCol w:w="539"/>
        <w:gridCol w:w="629"/>
        <w:gridCol w:w="809"/>
        <w:gridCol w:w="988"/>
        <w:gridCol w:w="718"/>
        <w:gridCol w:w="718"/>
        <w:gridCol w:w="809"/>
      </w:tblGrid>
      <w:tr>
        <w:tc>
          <w:tcPr>
            <w:tcW w:type="dxa" w:w="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ОНС</w:t>
            </w:r>
          </w:p>
        </w:tc>
        <w:tc>
          <w:tcPr>
            <w:tcW w:type="dxa" w:w="5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p>
            <w:pPr>
              <w:jc w:val="left"/>
            </w:pPr>
            <w:r>
              <w:rPr>
                <w:rFonts w:ascii="Arial" w:cs="Arial" w:eastAsia="Arial" w:hAnsi="Arial"/>
                <w:sz w:val="24"/>
                <w:szCs w:val="24"/>
              </w:rPr>
              <w:t xml:space="preserve">ОНС</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разреше-ния на строи-тельство</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органа, выдавшего разреше-ние на строи-тельство</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разрешения на строи-тельство</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разреше-ния на строитель-ство</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начала 
 строи-тельства</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Проектная
 дата</w:t>
            </w:r>
          </w:p>
          <w:p>
            <w:pPr>
              <w:jc w:val="left"/>
            </w:pPr>
            <w:r>
              <w:rPr>
                <w:rFonts w:ascii="Arial" w:cs="Arial" w:eastAsia="Arial" w:hAnsi="Arial"/>
                <w:sz w:val="24"/>
                <w:szCs w:val="24"/>
              </w:rPr>
              <w:t xml:space="preserve">ввода в эксплуатацию</w:t>
            </w:r>
          </w:p>
        </w:tc>
        <w:tc>
          <w:tcPr>
            <w:tcW w:type="dxa" w:w="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ОНС по проекту 
 (жилой, нежилой, админи-стративный, др.)</w:t>
            </w:r>
          </w:p>
        </w:tc>
        <w:tc>
          <w:tcPr>
            <w:tcW w:type="dxa" w:w="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характеристики 
 (краткое описание конструкций, этажность, наличие подвала, др.)</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готовности ОНС (%)</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Проектная стоимость (сом)</w:t>
            </w:r>
          </w:p>
        </w:tc>
        <w:tc>
          <w:tcPr>
            <w:tcW w:type="dxa" w:w="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Освоено на дату отчета (сом)</w:t>
            </w:r>
          </w:p>
        </w:tc>
      </w:tr>
      <w:tr>
        <w:tc>
          <w:tcPr>
            <w:tcW w:type="dxa" w:w="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9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8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2"/>
        <w:gridCol w:w="2525"/>
        <w:gridCol w:w="2525"/>
        <w:gridCol w:w="2525"/>
      </w:tblGrid>
      <w:tr>
        <w:tc>
          <w:tcPr>
            <w:tcW w:type="dxa" w:w="26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заказчика </w:t>
            </w:r>
          </w:p>
        </w:tc>
        <w:tc>
          <w:tcPr>
            <w:tcW w:type="dxa" w:w="25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генерального подрядчика</w:t>
            </w:r>
          </w:p>
        </w:tc>
        <w:tc>
          <w:tcPr>
            <w:tcW w:type="dxa" w:w="25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наличии обременений</w:t>
            </w:r>
          </w:p>
          <w:p>
            <w:pPr>
              <w:jc w:val="left"/>
            </w:pPr>
            <w:r>
              <w:rPr>
                <w:rFonts w:ascii="Arial" w:cs="Arial" w:eastAsia="Arial" w:hAnsi="Arial"/>
                <w:sz w:val="24"/>
                <w:szCs w:val="24"/>
              </w:rPr>
              <w:t xml:space="preserve">(залог, доверительное управление и др.)</w:t>
            </w:r>
          </w:p>
        </w:tc>
        <w:tc>
          <w:tcPr>
            <w:tcW w:type="dxa" w:w="25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наличии</w:t>
            </w:r>
          </w:p>
          <w:p>
            <w:pPr>
              <w:jc w:val="left"/>
            </w:pPr>
            <w:r>
              <w:rPr>
                <w:rFonts w:ascii="Arial" w:cs="Arial" w:eastAsia="Arial" w:hAnsi="Arial"/>
                <w:sz w:val="24"/>
                <w:szCs w:val="24"/>
              </w:rPr>
              <w:t xml:space="preserve">ограничений</w:t>
            </w:r>
          </w:p>
          <w:p>
            <w:pPr>
              <w:jc w:val="left"/>
            </w:pPr>
            <w:r>
              <w:rPr>
                <w:rFonts w:ascii="Arial" w:cs="Arial" w:eastAsia="Arial" w:hAnsi="Arial"/>
                <w:sz w:val="24"/>
                <w:szCs w:val="24"/>
              </w:rPr>
              <w:t xml:space="preserve">(арест и др.)</w:t>
            </w:r>
          </w:p>
        </w:tc>
      </w:tr>
      <w:tr>
        <w:tc>
          <w:tcPr>
            <w:tcW w:type="dxa" w:w="26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2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2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5 («Наличие разрешения на строительство») выбирается одно из двух: «прилагается» и «нет в наличии»      </w:t>
      </w:r>
    </w:p>
    <w:p>
      <w:pPr>
        <w:spacing w:after="120"/>
        <w:jc w:val="both"/>
      </w:pPr>
      <w:r>
        <w:rPr>
          <w:rFonts w:ascii="Arial" w:cs="Arial" w:eastAsia="Arial" w:hAnsi="Arial"/>
          <w:sz w:val="24"/>
          <w:szCs w:val="24"/>
        </w:rPr>
        <w:t xml:space="preserve">В графе 11 («Назначение ОНС по проекту») выбирается соответствующий пятизначный код ГИ из Приложения № 1 Классификатора (коды из подраздела 24).</w:t>
      </w:r>
    </w:p>
    <w:p>
      <w:pPr>
        <w:spacing w:after="120"/>
        <w:jc w:val="both"/>
      </w:pPr>
      <w:r>
        <w:rPr>
          <w:rFonts w:ascii="Arial" w:cs="Arial" w:eastAsia="Arial" w:hAnsi="Arial"/>
          <w:sz w:val="24"/>
          <w:szCs w:val="24"/>
        </w:rPr>
        <w:t xml:space="preserve">В графе 18 («Сведения о наличии обременений»)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19 («Сведения о наличии ограничений»)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6</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воздушным, водным судам и железнодорожным транспортным средствам, зарегистрированным за государственными
  юридическими лицами, их филиалами и представительствами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718"/>
        <w:gridCol w:w="538"/>
        <w:gridCol w:w="539"/>
        <w:gridCol w:w="539"/>
        <w:gridCol w:w="449"/>
        <w:gridCol w:w="449"/>
        <w:gridCol w:w="690"/>
        <w:gridCol w:w="568"/>
        <w:gridCol w:w="718"/>
        <w:gridCol w:w="629"/>
        <w:gridCol w:w="718"/>
        <w:gridCol w:w="718"/>
        <w:gridCol w:w="718"/>
        <w:gridCol w:w="809"/>
        <w:gridCol w:w="809"/>
      </w:tblGrid>
      <w:tr>
        <w:tc>
          <w:tcPr>
            <w:tcW w:type="dxa" w:w="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5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гос. юр. лица</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юр. лица</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судна, средства</w:t>
            </w:r>
          </w:p>
        </w:tc>
        <w:tc>
          <w:tcPr>
            <w:tcW w:type="dxa" w:w="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судна (сред-ства)</w:t>
            </w:r>
          </w:p>
        </w:tc>
        <w:tc>
          <w:tcPr>
            <w:tcW w:type="dxa" w:w="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приоб-ретения</w:t>
            </w:r>
          </w:p>
        </w:tc>
        <w:tc>
          <w:tcPr>
            <w:tcW w:type="dxa" w:w="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характерис-тика судна (средства) (длина, ширина, высота борта, грузо-подъемность и др.)</w:t>
            </w:r>
          </w:p>
        </w:tc>
        <w:tc>
          <w:tcPr>
            <w:tcW w:type="dxa" w:w="5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двигателя</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двигателя</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постройки двигателя</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постройки двигателя</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судна (средства)</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p>
            <w:pPr>
              <w:jc w:val="left"/>
            </w:pPr>
            <w:r>
              <w:rPr>
                <w:rFonts w:ascii="Arial" w:cs="Arial" w:eastAsia="Arial" w:hAnsi="Arial"/>
                <w:sz w:val="24"/>
                <w:szCs w:val="24"/>
              </w:rPr>
              <w:t xml:space="preserve">стоимость</w:t>
            </w:r>
          </w:p>
          <w:p>
            <w:pPr>
              <w:jc w:val="left"/>
            </w:pPr>
            <w:r>
              <w:rPr>
                <w:rFonts w:ascii="Arial" w:cs="Arial" w:eastAsia="Arial" w:hAnsi="Arial"/>
                <w:sz w:val="24"/>
                <w:szCs w:val="24"/>
              </w:rPr>
              <w:t xml:space="preserve">(сом)</w:t>
            </w:r>
          </w:p>
        </w:tc>
        <w:tc>
          <w:tcPr>
            <w:tcW w:type="dxa" w:w="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Накопленный износ на начало отчетного периода </w:t>
            </w:r>
          </w:p>
          <w:p>
            <w:pPr>
              <w:jc w:val="left"/>
            </w:pPr>
            <w:r>
              <w:rPr>
                <w:rFonts w:ascii="Arial" w:cs="Arial" w:eastAsia="Arial" w:hAnsi="Arial"/>
                <w:sz w:val="24"/>
                <w:szCs w:val="24"/>
              </w:rPr>
              <w:t xml:space="preserve">(сом)</w:t>
            </w:r>
          </w:p>
        </w:tc>
        <w:tc>
          <w:tcPr>
            <w:tcW w:type="dxa" w:w="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Начисленный износ за отчетный период (сом)</w:t>
            </w:r>
          </w:p>
          <w:p>
            <w:pPr>
              <w:jc w:val="left"/>
            </w:pPr>
            <w:r>
              <w:rPr>
                <w:rFonts w:ascii="Arial" w:cs="Arial" w:eastAsia="Arial" w:hAnsi="Arial"/>
                <w:sz w:val="24"/>
                <w:szCs w:val="24"/>
              </w:rPr>
              <w:t xml:space="preserve"/>
            </w:r>
          </w:p>
        </w:tc>
      </w:tr>
      <w:tr>
        <w:tc>
          <w:tcPr>
            <w:tcW w:type="dxa" w:w="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8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5"/>
        <w:gridCol w:w="992"/>
        <w:gridCol w:w="1213"/>
        <w:gridCol w:w="1102"/>
        <w:gridCol w:w="882"/>
        <w:gridCol w:w="1103"/>
        <w:gridCol w:w="882"/>
        <w:gridCol w:w="992"/>
        <w:gridCol w:w="992"/>
        <w:gridCol w:w="992"/>
      </w:tblGrid>
      <w:tr>
        <w:tc>
          <w:tcPr>
            <w:tcW w:type="dxa" w:w="10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за отчетный период</w:t>
            </w:r>
          </w:p>
          <w:p>
            <w:pPr>
              <w:jc w:val="left"/>
            </w:pPr>
            <w:r>
              <w:rPr>
                <w:rFonts w:ascii="Arial" w:cs="Arial" w:eastAsia="Arial" w:hAnsi="Arial"/>
                <w:sz w:val="24"/>
                <w:szCs w:val="24"/>
              </w:rPr>
              <w:t xml:space="preserve">(сом)</w:t>
            </w:r>
          </w:p>
        </w:tc>
        <w:tc>
          <w:tcPr>
            <w:tcW w:type="dxa" w:w="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срока полезной службы (год)</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 (сом)</w:t>
            </w:r>
          </w:p>
        </w:tc>
        <w:tc>
          <w:tcPr>
            <w:tcW w:type="dxa" w:w="11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 (сом)</w:t>
            </w:r>
          </w:p>
          <w:p>
            <w:pPr>
              <w:jc w:val="left"/>
            </w:pPr>
            <w:r>
              <w:rPr>
                <w:rFonts w:ascii="Arial" w:cs="Arial" w:eastAsia="Arial" w:hAnsi="Arial"/>
                <w:sz w:val="24"/>
                <w:szCs w:val="24"/>
              </w:rPr>
              <w:t xml:space="preserve"/>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w:t>
            </w:r>
          </w:p>
          <w:p>
            <w:pPr>
              <w:jc w:val="left"/>
            </w:pPr>
            <w:r>
              <w:rPr>
                <w:rFonts w:ascii="Arial" w:cs="Arial" w:eastAsia="Arial" w:hAnsi="Arial"/>
                <w:sz w:val="24"/>
                <w:szCs w:val="24"/>
              </w:rPr>
              <w:t xml:space="preserve">(сом)</w:t>
            </w:r>
          </w:p>
        </w:tc>
        <w:tc>
          <w:tcPr>
            <w:tcW w:type="dxa" w:w="1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снятия с регистрации</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снятия с регистрации</w:t>
            </w:r>
          </w:p>
          <w:p>
            <w:pPr>
              <w:jc w:val="left"/>
            </w:pPr>
            <w:r>
              <w:rPr>
                <w:rFonts w:ascii="Arial" w:cs="Arial" w:eastAsia="Arial" w:hAnsi="Arial"/>
                <w:sz w:val="24"/>
                <w:szCs w:val="24"/>
              </w:rPr>
              <w:t xml:space="preserve">(со ссылкой на документ)</w:t>
            </w:r>
          </w:p>
        </w:tc>
        <w:tc>
          <w:tcPr>
            <w:tcW w:type="dxa" w:w="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обременений (залог, доверительное управление и др.)</w:t>
            </w:r>
          </w:p>
        </w:tc>
        <w:tc>
          <w:tcPr>
            <w:tcW w:type="dxa" w:w="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ограничений (арест и др.)</w:t>
            </w:r>
          </w:p>
        </w:tc>
        <w:tc>
          <w:tcPr>
            <w:tcW w:type="dxa" w:w="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объекта</w:t>
            </w:r>
          </w:p>
        </w:tc>
      </w:tr>
      <w:tr>
        <w:tc>
          <w:tcPr>
            <w:tcW w:type="dxa" w:w="102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2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1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6 («Вид судна (средства)») выбирается соответствующий пятизначный код ГИ из Приложения № 1 Классификатора (коды из группы 312, 313 или 314).</w:t>
      </w:r>
    </w:p>
    <w:p>
      <w:pPr>
        <w:spacing w:after="120"/>
        <w:jc w:val="both"/>
      </w:pPr>
      <w:r>
        <w:rPr>
          <w:rFonts w:ascii="Arial" w:cs="Arial" w:eastAsia="Arial" w:hAnsi="Arial"/>
          <w:sz w:val="24"/>
          <w:szCs w:val="24"/>
        </w:rPr>
        <w:t xml:space="preserve">В графе 24 («Сведения о наличии обременений»)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25 («Сведения о наличии ограничений»)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В графе 26 («Техническое состояние объекта»)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7</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автомобильным транспортным средствам, зарегистрированным за государственными
 юридическими лицами, их филиалами и представительствами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805"/>
        <w:gridCol w:w="441"/>
        <w:gridCol w:w="545"/>
        <w:gridCol w:w="544"/>
        <w:gridCol w:w="725"/>
        <w:gridCol w:w="635"/>
        <w:gridCol w:w="544"/>
        <w:gridCol w:w="725"/>
        <w:gridCol w:w="634"/>
        <w:gridCol w:w="453"/>
        <w:gridCol w:w="544"/>
        <w:gridCol w:w="634"/>
        <w:gridCol w:w="816"/>
        <w:gridCol w:w="815"/>
        <w:gridCol w:w="816"/>
      </w:tblGrid>
      <w:tr>
        <w:tc>
          <w:tcPr>
            <w:tcW w:type="dxa" w:w="5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гос. юр. лица</w:t>
            </w:r>
          </w:p>
        </w:tc>
        <w:tc>
          <w:tcPr>
            <w:tcW w:type="dxa" w:w="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юр. лица</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транс-портного</w:t>
            </w:r>
          </w:p>
          <w:p>
            <w:pPr>
              <w:jc w:val="left"/>
            </w:pPr>
            <w:r>
              <w:rPr>
                <w:rFonts w:ascii="Arial" w:cs="Arial" w:eastAsia="Arial" w:hAnsi="Arial"/>
                <w:sz w:val="24"/>
                <w:szCs w:val="24"/>
              </w:rPr>
              <w:t xml:space="preserve">средства</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транспорт-ного средства (марка, модель, модифи-кация)</w:t>
            </w:r>
          </w:p>
        </w:tc>
        <w:tc>
          <w:tcPr>
            <w:tcW w:type="dxa" w:w="6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выпуска транс-портного</w:t>
            </w:r>
          </w:p>
          <w:p>
            <w:pPr>
              <w:jc w:val="left"/>
            </w:pPr>
            <w:r>
              <w:rPr>
                <w:rFonts w:ascii="Arial" w:cs="Arial" w:eastAsia="Arial" w:hAnsi="Arial"/>
                <w:sz w:val="24"/>
                <w:szCs w:val="24"/>
              </w:rPr>
              <w:t xml:space="preserve">средства</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номер-</w:t>
            </w:r>
          </w:p>
          <w:p>
            <w:pPr>
              <w:jc w:val="left"/>
            </w:pPr>
            <w:r>
              <w:rPr>
                <w:rFonts w:ascii="Arial" w:cs="Arial" w:eastAsia="Arial" w:hAnsi="Arial"/>
                <w:sz w:val="24"/>
                <w:szCs w:val="24"/>
              </w:rPr>
              <w:t xml:space="preserve">ной знак</w:t>
            </w:r>
          </w:p>
        </w:tc>
        <w:tc>
          <w:tcPr>
            <w:tcW w:type="dxa" w:w="7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(VIN код)</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кузова или шасси</w:t>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приобре-тения транс-портного</w:t>
            </w:r>
          </w:p>
          <w:p>
            <w:pPr>
              <w:jc w:val="left"/>
            </w:pPr>
            <w:r>
              <w:rPr>
                <w:rFonts w:ascii="Arial" w:cs="Arial" w:eastAsia="Arial" w:hAnsi="Arial"/>
                <w:sz w:val="24"/>
                <w:szCs w:val="24"/>
              </w:rPr>
              <w:t xml:space="preserve">средства</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двигателя</w:t>
            </w:r>
          </w:p>
          <w:p>
            <w:pPr>
              <w:jc w:val="left"/>
            </w:pPr>
            <w:r>
              <w:rPr>
                <w:rFonts w:ascii="Arial" w:cs="Arial" w:eastAsia="Arial" w:hAnsi="Arial"/>
                <w:sz w:val="24"/>
                <w:szCs w:val="24"/>
              </w:rPr>
              <w:t xml:space="preserve">(куб.см)</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 подтверждаю-щего факт приобретения (или отчуждения) транспортного средства</w:t>
            </w:r>
          </w:p>
        </w:tc>
        <w:tc>
          <w:tcPr>
            <w:tcW w:type="dxa" w:w="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документа, подтверждаю-щего факт приобретения (или отчуждения)  транспортного средства</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документа, подтверждаю-щего факт приобретения (или отчуждения)  транспортного средства</w:t>
            </w:r>
          </w:p>
        </w:tc>
      </w:tr>
      <w:tr>
        <w:tc>
          <w:tcPr>
            <w:tcW w:type="dxa" w:w="5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8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1003"/>
        <w:gridCol w:w="1014"/>
        <w:gridCol w:w="982"/>
        <w:gridCol w:w="1200"/>
        <w:gridCol w:w="1091"/>
        <w:gridCol w:w="872"/>
        <w:gridCol w:w="1090"/>
        <w:gridCol w:w="982"/>
        <w:gridCol w:w="982"/>
      </w:tblGrid>
      <w:tr>
        <w:tc>
          <w:tcPr>
            <w:tcW w:type="dxa" w:w="9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p>
            <w:pPr>
              <w:jc w:val="left"/>
            </w:pPr>
            <w:r>
              <w:rPr>
                <w:rFonts w:ascii="Arial" w:cs="Arial" w:eastAsia="Arial" w:hAnsi="Arial"/>
                <w:sz w:val="24"/>
                <w:szCs w:val="24"/>
              </w:rPr>
              <w:t xml:space="preserve">стоимость</w:t>
            </w:r>
          </w:p>
          <w:p>
            <w:pPr>
              <w:jc w:val="left"/>
            </w:pPr>
            <w:r>
              <w:rPr>
                <w:rFonts w:ascii="Arial" w:cs="Arial" w:eastAsia="Arial" w:hAnsi="Arial"/>
                <w:sz w:val="24"/>
                <w:szCs w:val="24"/>
              </w:rPr>
              <w:t xml:space="preserve">(сом)</w:t>
            </w:r>
          </w:p>
        </w:tc>
        <w:tc>
          <w:tcPr>
            <w:tcW w:type="dxa" w:w="1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Накопленный износ на начало отчетного периода</w:t>
            </w:r>
          </w:p>
          <w:p>
            <w:pPr>
              <w:jc w:val="left"/>
            </w:pPr>
            <w:r>
              <w:rPr>
                <w:rFonts w:ascii="Arial" w:cs="Arial" w:eastAsia="Arial" w:hAnsi="Arial"/>
                <w:sz w:val="24"/>
                <w:szCs w:val="24"/>
              </w:rPr>
              <w:t xml:space="preserve">(сом)</w:t>
            </w:r>
          </w:p>
        </w:tc>
        <w:tc>
          <w:tcPr>
            <w:tcW w:type="dxa" w:w="1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Начислен-ный износ за отчетный период (сом)</w:t>
            </w:r>
          </w:p>
          <w:p>
            <w:pPr>
              <w:jc w:val="left"/>
            </w:pPr>
            <w:r>
              <w:rPr>
                <w:rFonts w:ascii="Arial" w:cs="Arial" w:eastAsia="Arial" w:hAnsi="Arial"/>
                <w:sz w:val="24"/>
                <w:szCs w:val="24"/>
              </w:rPr>
              <w:t xml:space="preserve"/>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за отчетный период</w:t>
            </w:r>
          </w:p>
          <w:p>
            <w:pPr>
              <w:jc w:val="left"/>
            </w:pPr>
            <w:r>
              <w:rPr>
                <w:rFonts w:ascii="Arial" w:cs="Arial" w:eastAsia="Arial" w:hAnsi="Arial"/>
                <w:sz w:val="24"/>
                <w:szCs w:val="24"/>
              </w:rPr>
              <w:t xml:space="preserve">(сом)</w:t>
            </w:r>
          </w:p>
        </w:tc>
        <w:tc>
          <w:tcPr>
            <w:tcW w:type="dxa" w:w="12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 (сом)</w:t>
            </w:r>
          </w:p>
        </w:tc>
        <w:tc>
          <w:tcPr>
            <w:tcW w:type="dxa" w:w="1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 (сом)</w:t>
            </w:r>
          </w:p>
          <w:p>
            <w:pPr>
              <w:jc w:val="left"/>
            </w:pPr>
            <w:r>
              <w:rPr>
                <w:rFonts w:ascii="Arial" w:cs="Arial" w:eastAsia="Arial" w:hAnsi="Arial"/>
                <w:sz w:val="24"/>
                <w:szCs w:val="24"/>
              </w:rPr>
              <w:t xml:space="preserve"/>
            </w:r>
          </w:p>
        </w:tc>
        <w:tc>
          <w:tcPr>
            <w:tcW w:type="dxa" w:w="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(сом)</w:t>
            </w:r>
          </w:p>
        </w:tc>
        <w:tc>
          <w:tcPr>
            <w:tcW w:type="dxa" w:w="1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обременений (залог, доверительное управление и др.)</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ограничений (арест и др.)</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транспорт-ного средства</w:t>
            </w:r>
          </w:p>
        </w:tc>
      </w:tr>
      <w:tr>
        <w:tc>
          <w:tcPr>
            <w:tcW w:type="dxa" w:w="9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10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2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0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5 («Вид транспортного средства») выбирается соответствующий пятизначный код ГИ из Приложения № 1 Классификатора (коды из группы 311).</w:t>
      </w:r>
    </w:p>
    <w:p>
      <w:pPr>
        <w:spacing w:after="120"/>
        <w:jc w:val="both"/>
      </w:pPr>
      <w:r>
        <w:rPr>
          <w:rFonts w:ascii="Arial" w:cs="Arial" w:eastAsia="Arial" w:hAnsi="Arial"/>
          <w:sz w:val="24"/>
          <w:szCs w:val="24"/>
        </w:rPr>
        <w:t xml:space="preserve">В графе 14 («Вид документа, подтверждающего факт приобретения транспортного средства») выбирается соответствующий классификационный код из справочника Приложения № 12.</w:t>
      </w:r>
    </w:p>
    <w:p>
      <w:pPr>
        <w:spacing w:after="120"/>
        <w:jc w:val="both"/>
      </w:pPr>
      <w:r>
        <w:rPr>
          <w:rFonts w:ascii="Arial" w:cs="Arial" w:eastAsia="Arial" w:hAnsi="Arial"/>
          <w:sz w:val="24"/>
          <w:szCs w:val="24"/>
        </w:rPr>
        <w:t xml:space="preserve">В графе 24 («Сведения о наличии обременений»)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25 («Сведения о наличии ограничений»)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В графе 26 («Техническое состояние транспортного средства»)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8</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по оборудованию и инвентарю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
        <w:gridCol w:w="901"/>
        <w:gridCol w:w="630"/>
        <w:gridCol w:w="803"/>
        <w:gridCol w:w="638"/>
        <w:gridCol w:w="630"/>
        <w:gridCol w:w="541"/>
        <w:gridCol w:w="541"/>
        <w:gridCol w:w="721"/>
        <w:gridCol w:w="541"/>
        <w:gridCol w:w="721"/>
        <w:gridCol w:w="630"/>
        <w:gridCol w:w="630"/>
        <w:gridCol w:w="721"/>
        <w:gridCol w:w="811"/>
      </w:tblGrid>
      <w:tr>
        <w:tc>
          <w:tcPr>
            <w:tcW w:type="dxa" w:w="7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9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w:t>
            </w:r>
          </w:p>
          <w:p>
            <w:pPr>
              <w:jc w:val="left"/>
            </w:pPr>
            <w:r>
              <w:rPr>
                <w:rFonts w:ascii="Arial" w:cs="Arial" w:eastAsia="Arial" w:hAnsi="Arial"/>
                <w:sz w:val="24"/>
                <w:szCs w:val="24"/>
              </w:rPr>
              <w:t xml:space="preserve">в реестре (включение, актуализация, исключение объекта учета реестра)</w:t>
            </w:r>
          </w:p>
        </w:tc>
        <w:tc>
          <w:tcPr>
            <w:tcW w:type="dxa" w:w="6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правооб-ладателя</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правооб-ладателя</w:t>
            </w:r>
          </w:p>
        </w:tc>
        <w:tc>
          <w:tcPr>
            <w:tcW w:type="dxa" w:w="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оборудо-вания, инвентаря</w:t>
            </w:r>
          </w:p>
        </w:tc>
        <w:tc>
          <w:tcPr>
            <w:tcW w:type="dxa" w:w="6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w:t>
            </w:r>
          </w:p>
          <w:p>
            <w:pPr>
              <w:jc w:val="left"/>
            </w:pPr>
            <w:r>
              <w:rPr>
                <w:rFonts w:ascii="Arial" w:cs="Arial" w:eastAsia="Arial" w:hAnsi="Arial"/>
                <w:sz w:val="24"/>
                <w:szCs w:val="24"/>
              </w:rPr>
              <w:t xml:space="preserve">(адрес)</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иму-щества</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учета</w:t>
            </w:r>
          </w:p>
          <w:p>
            <w:pPr>
              <w:jc w:val="left"/>
            </w:pPr>
            <w:r>
              <w:rPr>
                <w:rFonts w:ascii="Arial" w:cs="Arial" w:eastAsia="Arial" w:hAnsi="Arial"/>
                <w:sz w:val="24"/>
                <w:szCs w:val="24"/>
              </w:rPr>
              <w:t xml:space="preserve">на балансе</w:t>
            </w:r>
          </w:p>
        </w:tc>
        <w:tc>
          <w:tcPr>
            <w:tcW w:type="dxa" w:w="7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ввода в эксплуа-</w:t>
            </w:r>
          </w:p>
          <w:p>
            <w:pPr>
              <w:jc w:val="left"/>
            </w:pPr>
            <w:r>
              <w:rPr>
                <w:rFonts w:ascii="Arial" w:cs="Arial" w:eastAsia="Arial" w:hAnsi="Arial"/>
                <w:sz w:val="24"/>
                <w:szCs w:val="24"/>
              </w:rPr>
              <w:t xml:space="preserve">тацию</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полез-ной службы</w:t>
            </w:r>
          </w:p>
          <w:p>
            <w:pPr>
              <w:jc w:val="left"/>
            </w:pPr>
            <w:r>
              <w:rPr>
                <w:rFonts w:ascii="Arial" w:cs="Arial" w:eastAsia="Arial" w:hAnsi="Arial"/>
                <w:sz w:val="24"/>
                <w:szCs w:val="24"/>
              </w:rPr>
              <w:t xml:space="preserve">(год)</w:t>
            </w:r>
          </w:p>
        </w:tc>
        <w:tc>
          <w:tcPr>
            <w:tcW w:type="dxa" w:w="7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параметры (мощность, производи-тельность, мест, др.)</w:t>
            </w:r>
          </w:p>
        </w:tc>
        <w:tc>
          <w:tcPr>
            <w:tcW w:type="dxa" w:w="6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6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Числовое значение</w:t>
            </w:r>
          </w:p>
        </w:tc>
        <w:tc>
          <w:tcPr>
            <w:tcW w:type="dxa" w:w="7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p>
            <w:pPr>
              <w:jc w:val="left"/>
            </w:pPr>
            <w:r>
              <w:rPr>
                <w:rFonts w:ascii="Arial" w:cs="Arial" w:eastAsia="Arial" w:hAnsi="Arial"/>
                <w:sz w:val="24"/>
                <w:szCs w:val="24"/>
              </w:rPr>
              <w:t xml:space="preserve">стоимость</w:t>
            </w:r>
          </w:p>
          <w:p>
            <w:pPr>
              <w:jc w:val="left"/>
            </w:pPr>
            <w:r>
              <w:rPr>
                <w:rFonts w:ascii="Arial" w:cs="Arial" w:eastAsia="Arial" w:hAnsi="Arial"/>
                <w:sz w:val="24"/>
                <w:szCs w:val="24"/>
              </w:rPr>
              <w:t xml:space="preserve">(сом)</w:t>
            </w:r>
          </w:p>
        </w:tc>
        <w:tc>
          <w:tcPr>
            <w:tcW w:type="dxa" w:w="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Накоплен-ный износ на начало отчетного периода </w:t>
            </w:r>
          </w:p>
          <w:p>
            <w:pPr>
              <w:jc w:val="left"/>
            </w:pPr>
            <w:r>
              <w:rPr>
                <w:rFonts w:ascii="Arial" w:cs="Arial" w:eastAsia="Arial" w:hAnsi="Arial"/>
                <w:sz w:val="24"/>
                <w:szCs w:val="24"/>
              </w:rPr>
              <w:t xml:space="preserve">(сом)</w:t>
            </w:r>
          </w:p>
        </w:tc>
      </w:tr>
      <w:tr>
        <w:tc>
          <w:tcPr>
            <w:tcW w:type="dxa" w:w="7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5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6"/>
        <w:gridCol w:w="964"/>
        <w:gridCol w:w="1178"/>
        <w:gridCol w:w="1071"/>
        <w:gridCol w:w="857"/>
        <w:gridCol w:w="876"/>
        <w:gridCol w:w="1130"/>
        <w:gridCol w:w="857"/>
        <w:gridCol w:w="1178"/>
        <w:gridCol w:w="1072"/>
      </w:tblGrid>
      <w:tr>
        <w:tc>
          <w:tcPr>
            <w:tcW w:type="dxa" w:w="9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Начислен-ный износ за отчетный период (сом)</w:t>
            </w:r>
          </w:p>
          <w:p>
            <w:pPr>
              <w:jc w:val="left"/>
            </w:pPr>
            <w:r>
              <w:rPr>
                <w:rFonts w:ascii="Arial" w:cs="Arial" w:eastAsia="Arial" w:hAnsi="Arial"/>
                <w:sz w:val="24"/>
                <w:szCs w:val="24"/>
              </w:rPr>
              <w:t xml:space="preserve"/>
            </w:r>
          </w:p>
        </w:tc>
        <w:tc>
          <w:tcPr>
            <w:tcW w:type="dxa" w:w="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за отчетный период</w:t>
            </w:r>
          </w:p>
          <w:p>
            <w:pPr>
              <w:jc w:val="left"/>
            </w:pPr>
            <w:r>
              <w:rPr>
                <w:rFonts w:ascii="Arial" w:cs="Arial" w:eastAsia="Arial" w:hAnsi="Arial"/>
                <w:sz w:val="24"/>
                <w:szCs w:val="24"/>
              </w:rPr>
              <w:t xml:space="preserve">(сом)</w:t>
            </w:r>
          </w:p>
        </w:tc>
        <w:tc>
          <w:tcPr>
            <w:tcW w:type="dxa" w:w="11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 (сом)</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 (сом)</w:t>
            </w:r>
          </w:p>
          <w:p>
            <w:pPr>
              <w:jc w:val="left"/>
            </w:pPr>
            <w:r>
              <w:rPr>
                <w:rFonts w:ascii="Arial" w:cs="Arial" w:eastAsia="Arial" w:hAnsi="Arial"/>
                <w:sz w:val="24"/>
                <w:szCs w:val="24"/>
              </w:rPr>
              <w:t xml:space="preserve"/>
            </w:r>
          </w:p>
        </w:tc>
        <w:tc>
          <w:tcPr>
            <w:tcW w:type="dxa" w:w="8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(сом)</w:t>
            </w:r>
          </w:p>
        </w:tc>
        <w:tc>
          <w:tcPr>
            <w:tcW w:type="dxa" w:w="8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срока полезной службы (год)</w:t>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обременений (залог, доверительное управление и др.)</w:t>
            </w:r>
          </w:p>
        </w:tc>
        <w:tc>
          <w:tcPr>
            <w:tcW w:type="dxa" w:w="8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наличии ограничений</w:t>
            </w:r>
          </w:p>
          <w:p>
            <w:pPr>
              <w:jc w:val="left"/>
            </w:pPr>
            <w:r>
              <w:rPr>
                <w:rFonts w:ascii="Arial" w:cs="Arial" w:eastAsia="Arial" w:hAnsi="Arial"/>
                <w:sz w:val="24"/>
                <w:szCs w:val="24"/>
              </w:rPr>
              <w:t xml:space="preserve">(арест и др.)</w:t>
            </w:r>
          </w:p>
        </w:tc>
        <w:tc>
          <w:tcPr>
            <w:tcW w:type="dxa" w:w="11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 правах, сделках, ограничениях (обременениях)</w:t>
            </w:r>
          </w:p>
        </w:tc>
        <w:tc>
          <w:tcPr>
            <w:tcW w:type="dxa" w:w="1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оборудования</w:t>
            </w:r>
          </w:p>
        </w:tc>
      </w:tr>
      <w:tr>
        <w:tc>
          <w:tcPr>
            <w:tcW w:type="dxa" w:w="9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1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7 («Вид имущества») выбирается соответствующий пятизначный код из Приложения № 1 Классификатора, код подраздела 32 и 39, группы 321, 322, 323, 391-399.</w:t>
      </w:r>
    </w:p>
    <w:p>
      <w:pPr>
        <w:spacing w:after="120"/>
        <w:jc w:val="both"/>
      </w:pPr>
      <w:r>
        <w:rPr>
          <w:rFonts w:ascii="Arial" w:cs="Arial" w:eastAsia="Arial" w:hAnsi="Arial"/>
          <w:sz w:val="24"/>
          <w:szCs w:val="24"/>
        </w:rPr>
        <w:t xml:space="preserve">В графе 22 («Сведения о наличии обременений»)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23 («Сведения о наличии ограничений»)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В графе 24 («Документы о правах, сделках, ограничениях (обременениях)») выбирается соответствующий классификационный код из справочника Приложения № 12.</w:t>
      </w:r>
    </w:p>
    <w:p>
      <w:pPr>
        <w:spacing w:after="120"/>
        <w:jc w:val="both"/>
      </w:pPr>
      <w:r>
        <w:rPr>
          <w:rFonts w:ascii="Arial" w:cs="Arial" w:eastAsia="Arial" w:hAnsi="Arial"/>
          <w:sz w:val="24"/>
          <w:szCs w:val="24"/>
        </w:rPr>
        <w:t xml:space="preserve">В графе 25 («Техническое состояние оборудования»)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9</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по продуктам интеллектуальной собственности, принадлежащим государству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
        <w:gridCol w:w="889"/>
        <w:gridCol w:w="813"/>
        <w:gridCol w:w="785"/>
        <w:gridCol w:w="714"/>
        <w:gridCol w:w="983"/>
        <w:gridCol w:w="893"/>
        <w:gridCol w:w="671"/>
        <w:gridCol w:w="542"/>
        <w:gridCol w:w="541"/>
        <w:gridCol w:w="790"/>
        <w:gridCol w:w="871"/>
        <w:gridCol w:w="1020"/>
      </w:tblGrid>
      <w:tr>
        <w:tc>
          <w:tcPr>
            <w:tcW w:type="dxa" w:w="6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w:t>
            </w:r>
          </w:p>
          <w:p>
            <w:pPr>
              <w:jc w:val="left"/>
            </w:pPr>
            <w:r>
              <w:rPr>
                <w:rFonts w:ascii="Arial" w:cs="Arial" w:eastAsia="Arial" w:hAnsi="Arial"/>
                <w:sz w:val="24"/>
                <w:szCs w:val="24"/>
              </w:rPr>
              <w:t xml:space="preserve">руемое в отраслевой информационной системе (постановка на учет, исправление, исключение) и дата ее проведения</w:t>
            </w:r>
          </w:p>
        </w:tc>
        <w:tc>
          <w:tcPr>
            <w:tcW w:type="dxa" w:w="8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право-обладателя</w:t>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право-обладателя</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объекта (авторского права, изобретения, полезной модели, селекционного достижения, товарного знака, промышленного образца)</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характеристика</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охранного документа</w:t>
            </w:r>
          </w:p>
        </w:tc>
        <w:tc>
          <w:tcPr>
            <w:tcW w:type="dxa" w:w="5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выдачи охранного документа</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действия охранного документа</w:t>
            </w:r>
          </w:p>
        </w:tc>
        <w:tc>
          <w:tcPr>
            <w:tcW w:type="dxa" w:w="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регист-рации в Государ-ственных реестрах охраняемых изобретений, полезных моделей, промышленных образцов</w:t>
            </w:r>
          </w:p>
        </w:tc>
        <w:tc>
          <w:tcPr>
            <w:tcW w:type="dxa" w:w="8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снятия с учета (окончание срока действия, досрочное прекращение)</w:t>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признания интеллектуальной собственности (сом)</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6"/>
        <w:gridCol w:w="1409"/>
        <w:gridCol w:w="1408"/>
        <w:gridCol w:w="1680"/>
        <w:gridCol w:w="1608"/>
        <w:gridCol w:w="1252"/>
        <w:gridCol w:w="1366"/>
      </w:tblGrid>
      <w:tr>
        <w:tc>
          <w:tcPr>
            <w:tcW w:type="dxa" w:w="1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Накоплен-ный износ на начало отчетного периода </w:t>
            </w:r>
          </w:p>
          <w:p>
            <w:pPr>
              <w:jc w:val="left"/>
            </w:pPr>
            <w:r>
              <w:rPr>
                <w:rFonts w:ascii="Arial" w:cs="Arial" w:eastAsia="Arial" w:hAnsi="Arial"/>
                <w:sz w:val="24"/>
                <w:szCs w:val="24"/>
              </w:rPr>
              <w:t xml:space="preserve">(сом)</w:t>
            </w:r>
          </w:p>
          <w:p>
            <w:pPr>
              <w:jc w:val="left"/>
            </w:pPr>
            <w:r>
              <w:rPr>
                <w:rFonts w:ascii="Arial" w:cs="Arial" w:eastAsia="Arial" w:hAnsi="Arial"/>
                <w:sz w:val="24"/>
                <w:szCs w:val="24"/>
              </w:rPr>
              <w:t xml:space="preserve"/>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Начислен-ный износ за отчетный период (сом)</w:t>
            </w:r>
          </w:p>
        </w:tc>
        <w:tc>
          <w:tcPr>
            <w:tcW w:type="dxa" w:w="14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затраты за отчетный период</w:t>
            </w:r>
          </w:p>
          <w:p>
            <w:pPr>
              <w:jc w:val="left"/>
            </w:pPr>
            <w:r>
              <w:rPr>
                <w:rFonts w:ascii="Arial" w:cs="Arial" w:eastAsia="Arial" w:hAnsi="Arial"/>
                <w:sz w:val="24"/>
                <w:szCs w:val="24"/>
              </w:rPr>
              <w:t xml:space="preserve">(сом)</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Переоценка (представляется изменение (обесценение (-),</w:t>
            </w:r>
          </w:p>
          <w:p>
            <w:pPr>
              <w:jc w:val="left"/>
            </w:pPr>
            <w:r>
              <w:rPr>
                <w:rFonts w:ascii="Arial" w:cs="Arial" w:eastAsia="Arial" w:hAnsi="Arial"/>
                <w:sz w:val="24"/>
                <w:szCs w:val="24"/>
              </w:rPr>
              <w:t xml:space="preserve">увеличение (+)) (сом)</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w:t>
            </w:r>
          </w:p>
          <w:p>
            <w:pPr>
              <w:jc w:val="left"/>
            </w:pPr>
            <w:r>
              <w:rPr>
                <w:rFonts w:ascii="Arial" w:cs="Arial" w:eastAsia="Arial" w:hAnsi="Arial"/>
                <w:sz w:val="24"/>
                <w:szCs w:val="24"/>
              </w:rPr>
              <w:t xml:space="preserve"> (сом)</w:t>
            </w:r>
          </w:p>
          <w:p>
            <w:pPr>
              <w:jc w:val="left"/>
            </w:pPr>
            <w:r>
              <w:rPr>
                <w:rFonts w:ascii="Arial" w:cs="Arial" w:eastAsia="Arial" w:hAnsi="Arial"/>
                <w:sz w:val="24"/>
                <w:szCs w:val="24"/>
              </w:rPr>
              <w:t xml:space="preserve"/>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(сом)</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срока полезной службы (год)</w:t>
            </w:r>
          </w:p>
        </w:tc>
      </w:tr>
      <w:tr>
        <w:tc>
          <w:tcPr>
            <w:tcW w:type="dxa" w:w="14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1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6 («Название объекта»…)  выбирается соответствующий пятизначный код из Приложения № 1 Классификатора, подразделов 71 - 74.</w:t>
      </w:r>
    </w:p>
    <w:p>
      <w:pPr>
        <w:spacing w:after="120"/>
        <w:jc w:val="both"/>
      </w:pPr>
      <w:r>
        <w:rPr>
          <w:rFonts w:ascii="Arial" w:cs="Arial" w:eastAsia="Arial" w:hAnsi="Arial"/>
          <w:sz w:val="24"/>
          <w:szCs w:val="24"/>
        </w:rPr>
        <w:t xml:space="preserve">В графе 8 («Вид охранного документа») выбирается соответствующий классификационный код из справочника Приложения № 13.</w:t>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10</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
  по акциям акционерных обществ и долям участия в уставном капитале обществ с
  ограниченной ответственностью, принадлежащим государству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
        <w:gridCol w:w="899"/>
        <w:gridCol w:w="808"/>
        <w:gridCol w:w="629"/>
        <w:gridCol w:w="629"/>
        <w:gridCol w:w="629"/>
        <w:gridCol w:w="503"/>
        <w:gridCol w:w="570"/>
        <w:gridCol w:w="513"/>
        <w:gridCol w:w="513"/>
        <w:gridCol w:w="685"/>
        <w:gridCol w:w="742"/>
        <w:gridCol w:w="628"/>
        <w:gridCol w:w="570"/>
        <w:gridCol w:w="570"/>
        <w:gridCol w:w="570"/>
      </w:tblGrid>
      <w:tr>
        <w:tc>
          <w:tcPr>
            <w:tcW w:type="dxa" w:w="7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отраслевой информационной системе (первичное размещение, списание, доразмещение, передача в управление и др.) и дата ее проведения</w:t>
            </w:r>
          </w:p>
        </w:tc>
        <w:tc>
          <w:tcPr>
            <w:tcW w:type="dxa" w:w="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правообладателя</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правообладателя</w:t>
            </w:r>
          </w:p>
        </w:tc>
        <w:tc>
          <w:tcPr>
            <w:tcW w:type="dxa" w:w="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5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АО (ОсОО)</w:t>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 (сом)</w:t>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акций</w:t>
            </w:r>
          </w:p>
        </w:tc>
        <w:tc>
          <w:tcPr>
            <w:tcW w:type="dxa" w:w="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кол-во акций, штук (для АО)</w:t>
            </w:r>
          </w:p>
        </w:tc>
        <w:tc>
          <w:tcPr>
            <w:tcW w:type="dxa" w:w="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акции (сом)</w:t>
            </w:r>
          </w:p>
        </w:tc>
        <w:tc>
          <w:tcPr>
            <w:tcW w:type="dxa" w:w="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приобретения/ продажи (сом)</w:t>
            </w:r>
          </w:p>
        </w:tc>
        <w:tc>
          <w:tcPr>
            <w:tcW w:type="dxa" w:w="5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Переоцененная стоимость акции (сом)</w:t>
            </w:r>
          </w:p>
        </w:tc>
        <w:tc>
          <w:tcPr>
            <w:tcW w:type="dxa" w:w="5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госпакета акций в АО/госдо-ли участия в ОсОО (%)</w:t>
            </w:r>
          </w:p>
        </w:tc>
        <w:tc>
          <w:tcPr>
            <w:tcW w:type="dxa" w:w="5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 (для АО)</w:t>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6"/>
        <w:gridCol w:w="692"/>
        <w:gridCol w:w="692"/>
        <w:gridCol w:w="1158"/>
        <w:gridCol w:w="565"/>
        <w:gridCol w:w="565"/>
        <w:gridCol w:w="851"/>
        <w:gridCol w:w="851"/>
        <w:gridCol w:w="851"/>
        <w:gridCol w:w="922"/>
        <w:gridCol w:w="922"/>
        <w:gridCol w:w="922"/>
      </w:tblGrid>
      <w:tr>
        <w:tc>
          <w:tcPr>
            <w:tcW w:type="dxa" w:w="118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обременений (залог, доверительное управление и др.)</w:t>
            </w:r>
          </w:p>
        </w:tc>
        <w:tc>
          <w:tcPr>
            <w:tcW w:type="dxa" w:w="13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акций/стоимость гос. доли в обременении</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ограничений</w:t>
            </w:r>
          </w:p>
          <w:p>
            <w:pPr>
              <w:jc w:val="left"/>
            </w:pPr>
            <w:r>
              <w:rPr>
                <w:rFonts w:ascii="Arial" w:cs="Arial" w:eastAsia="Arial" w:hAnsi="Arial"/>
                <w:sz w:val="24"/>
                <w:szCs w:val="24"/>
              </w:rPr>
              <w:t xml:space="preserve">(арест и др.)</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акций/стоимость гос. доли в аресте</w:t>
            </w:r>
          </w:p>
        </w:tc>
        <w:tc>
          <w:tcPr>
            <w:tcW w:type="dxa" w:w="255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листинге акций АО за отчетный период</w:t>
            </w:r>
          </w:p>
        </w:tc>
        <w:tc>
          <w:tcPr>
            <w:tcW w:type="dxa" w:w="27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котировке акций  АО за отчетный период</w:t>
            </w:r>
          </w:p>
        </w:tc>
      </w:tr>
      <w:tr>
        <w:tc>
          <w:tcPr>
            <w:vMerge w:val="continue"/>
            <w:tcBorders>
              <w:top w:val="single" w:color="CBBF9E" w:sz="4"/>
              <w:left w:val="single" w:color="CBBF9E" w:sz="4"/>
              <w:bottom w:val="single" w:color="CBBF9E" w:sz="4"/>
              <w:right w:val="single" w:color="CBBF9E" w:sz="4"/>
            </w:tcBorders>
          </w:tcPr>
          <w:p/>
        </w:tc>
        <w:tc>
          <w:tcPr>
            <w:tcW w:type="dxa" w:w="6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6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5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фондовой биржи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внесения акций в реестр ценных бумаг (дата листинга)</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делистинга</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фондовой биржи</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цена одной акции, рассчитанная на основе всех котировок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официально опубликован-ная наивысшая цена акций в биржевых сессиях (сом)</w:t>
            </w:r>
          </w:p>
        </w:tc>
      </w:tr>
      <w:tr>
        <w:tc>
          <w:tcPr>
            <w:tcW w:type="dxa" w:w="1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6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6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5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10 («Тип акций») выбирается одно из двух: 1-обыкновенные; 2-привилегированные.</w:t>
      </w:r>
    </w:p>
    <w:p>
      <w:pPr>
        <w:spacing w:after="120"/>
        <w:jc w:val="both"/>
      </w:pPr>
      <w:r>
        <w:rPr>
          <w:rFonts w:ascii="Arial" w:cs="Arial" w:eastAsia="Arial" w:hAnsi="Arial"/>
          <w:sz w:val="24"/>
          <w:szCs w:val="24"/>
        </w:rPr>
        <w:t xml:space="preserve">В графе 11 («Общее количество акций, штук (для АО)») представляется общее число данного типа акций.</w:t>
      </w:r>
    </w:p>
    <w:p>
      <w:pPr>
        <w:spacing w:after="120"/>
        <w:jc w:val="both"/>
      </w:pPr>
      <w:r>
        <w:rPr>
          <w:rFonts w:ascii="Arial" w:cs="Arial" w:eastAsia="Arial" w:hAnsi="Arial"/>
          <w:sz w:val="24"/>
          <w:szCs w:val="24"/>
        </w:rPr>
        <w:t xml:space="preserve">В графе 17 («Сведения о наличии обременений») выбирается соответствующий классификационный код из справочника Приложения № 5.</w:t>
      </w:r>
    </w:p>
    <w:p>
      <w:pPr>
        <w:spacing w:after="120"/>
        <w:jc w:val="both"/>
      </w:pPr>
      <w:r>
        <w:rPr>
          <w:rFonts w:ascii="Arial" w:cs="Arial" w:eastAsia="Arial" w:hAnsi="Arial"/>
          <w:sz w:val="24"/>
          <w:szCs w:val="24"/>
        </w:rPr>
        <w:t xml:space="preserve">В графе 20 («Сведения о наличии ограничений») выбирается соответствующий классификационный код из справочника Приложения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11</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о государственном имуществе, переданном в доверительное и оперативное управление физическим и юридическим лицам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818"/>
        <w:gridCol w:w="636"/>
        <w:gridCol w:w="636"/>
        <w:gridCol w:w="636"/>
        <w:gridCol w:w="545"/>
        <w:gridCol w:w="546"/>
        <w:gridCol w:w="727"/>
        <w:gridCol w:w="545"/>
        <w:gridCol w:w="546"/>
        <w:gridCol w:w="727"/>
        <w:gridCol w:w="727"/>
        <w:gridCol w:w="909"/>
        <w:gridCol w:w="727"/>
        <w:gridCol w:w="818"/>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пользова-теля</w:t>
            </w:r>
          </w:p>
          <w:p>
            <w:pPr>
              <w:jc w:val="left"/>
            </w:pPr>
            <w:r>
              <w:rPr>
                <w:rFonts w:ascii="Arial" w:cs="Arial" w:eastAsia="Arial" w:hAnsi="Arial"/>
                <w:sz w:val="24"/>
                <w:szCs w:val="24"/>
              </w:rPr>
              <w:t xml:space="preserve">(управ-ляющего)</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пользо-вателя</w:t>
            </w:r>
          </w:p>
          <w:p>
            <w:pPr>
              <w:jc w:val="left"/>
            </w:pPr>
            <w:r>
              <w:rPr>
                <w:rFonts w:ascii="Arial" w:cs="Arial" w:eastAsia="Arial" w:hAnsi="Arial"/>
                <w:sz w:val="24"/>
                <w:szCs w:val="24"/>
              </w:rPr>
              <w:t xml:space="preserve">(управ-ляющего)</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пользо-вателя</w:t>
            </w:r>
          </w:p>
          <w:p>
            <w:pPr>
              <w:jc w:val="left"/>
            </w:pPr>
            <w:r>
              <w:rPr>
                <w:rFonts w:ascii="Arial" w:cs="Arial" w:eastAsia="Arial" w:hAnsi="Arial"/>
                <w:sz w:val="24"/>
                <w:szCs w:val="24"/>
              </w:rPr>
              <w:t xml:space="preserve">(управ-ляющего)</w:t>
            </w:r>
          </w:p>
        </w:tc>
        <w:tc>
          <w:tcPr>
            <w:tcW w:type="dxa" w:w="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пользо-вателя (управ-ляющего)</w:t>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объекта</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передачи прав</w:t>
            </w:r>
          </w:p>
        </w:tc>
        <w:tc>
          <w:tcPr>
            <w:tcW w:type="dxa" w:w="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документа</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иму-щества</w:t>
            </w:r>
          </w:p>
          <w:p>
            <w:pPr>
              <w:jc w:val="left"/>
            </w:pPr>
            <w:r>
              <w:rPr>
                <w:rFonts w:ascii="Arial" w:cs="Arial" w:eastAsia="Arial" w:hAnsi="Arial"/>
                <w:sz w:val="24"/>
                <w:szCs w:val="24"/>
              </w:rPr>
              <w:t xml:space="preserve">(недвижи-мость, акции)</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w:t>
            </w:r>
          </w:p>
          <w:p>
            <w:pPr>
              <w:jc w:val="left"/>
            </w:pPr>
            <w:r>
              <w:rPr>
                <w:rFonts w:ascii="Arial" w:cs="Arial" w:eastAsia="Arial" w:hAnsi="Arial"/>
                <w:sz w:val="24"/>
                <w:szCs w:val="24"/>
              </w:rPr>
              <w:t xml:space="preserve">(для недвижи-мости)</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здания, сооружения, передан-</w:t>
            </w:r>
          </w:p>
          <w:p>
            <w:pPr>
              <w:jc w:val="left"/>
            </w:pPr>
            <w:r>
              <w:rPr>
                <w:rFonts w:ascii="Arial" w:cs="Arial" w:eastAsia="Arial" w:hAnsi="Arial"/>
                <w:sz w:val="24"/>
                <w:szCs w:val="24"/>
              </w:rPr>
              <w:t xml:space="preserve">ного в управление</w:t>
            </w:r>
          </w:p>
          <w:p>
            <w:pPr>
              <w:jc w:val="left"/>
            </w:pPr>
            <w:r>
              <w:rPr>
                <w:rFonts w:ascii="Arial" w:cs="Arial" w:eastAsia="Arial" w:hAnsi="Arial"/>
                <w:sz w:val="24"/>
                <w:szCs w:val="24"/>
              </w:rPr>
              <w:t xml:space="preserve">(кв. м)</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акций, переданных в управление (шт.)</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(акций), переданных</w:t>
            </w:r>
          </w:p>
          <w:p>
            <w:pPr>
              <w:jc w:val="left"/>
            </w:pPr>
            <w:r>
              <w:rPr>
                <w:rFonts w:ascii="Arial" w:cs="Arial" w:eastAsia="Arial" w:hAnsi="Arial"/>
                <w:sz w:val="24"/>
                <w:szCs w:val="24"/>
              </w:rPr>
              <w:t xml:space="preserve">в управ-</w:t>
            </w:r>
          </w:p>
          <w:p>
            <w:pPr>
              <w:jc w:val="left"/>
            </w:pPr>
            <w:r>
              <w:rPr>
                <w:rFonts w:ascii="Arial" w:cs="Arial" w:eastAsia="Arial" w:hAnsi="Arial"/>
                <w:sz w:val="24"/>
                <w:szCs w:val="24"/>
              </w:rPr>
              <w:t xml:space="preserve">ление</w:t>
            </w:r>
          </w:p>
          <w:p>
            <w:pPr>
              <w:jc w:val="left"/>
            </w:pPr>
            <w:r>
              <w:rPr>
                <w:rFonts w:ascii="Arial" w:cs="Arial" w:eastAsia="Arial" w:hAnsi="Arial"/>
                <w:sz w:val="24"/>
                <w:szCs w:val="24"/>
              </w:rPr>
              <w:t xml:space="preserve">(сом)</w:t>
            </w: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9"/>
        <w:gridCol w:w="2181"/>
        <w:gridCol w:w="1818"/>
        <w:gridCol w:w="2181"/>
        <w:gridCol w:w="1999"/>
      </w:tblGrid>
      <w:tr>
        <w:tc>
          <w:tcPr>
            <w:tcW w:type="dxa" w:w="19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w:t>
            </w:r>
          </w:p>
          <w:p>
            <w:pPr>
              <w:jc w:val="left"/>
            </w:pPr>
            <w:r>
              <w:rPr>
                <w:rFonts w:ascii="Arial" w:cs="Arial" w:eastAsia="Arial" w:hAnsi="Arial"/>
                <w:sz w:val="24"/>
                <w:szCs w:val="24"/>
              </w:rPr>
              <w:t xml:space="preserve">вознаграждения управляющего</w:t>
            </w:r>
          </w:p>
          <w:p>
            <w:pPr>
              <w:jc w:val="left"/>
            </w:pPr>
            <w:r>
              <w:rPr>
                <w:rFonts w:ascii="Arial" w:cs="Arial" w:eastAsia="Arial" w:hAnsi="Arial"/>
                <w:sz w:val="24"/>
                <w:szCs w:val="24"/>
              </w:rPr>
              <w:t xml:space="preserve">(сомов в год)</w:t>
            </w:r>
          </w:p>
          <w:p>
            <w:pPr>
              <w:jc w:val="left"/>
            </w:pPr>
            <w:r>
              <w:rPr>
                <w:rFonts w:ascii="Arial" w:cs="Arial" w:eastAsia="Arial" w:hAnsi="Arial"/>
                <w:sz w:val="24"/>
                <w:szCs w:val="24"/>
              </w:rPr>
              <w:t xml:space="preserve"/>
            </w:r>
          </w:p>
        </w:tc>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передачи имущества в доверительное (оперативное)</w:t>
            </w:r>
          </w:p>
          <w:p>
            <w:pPr>
              <w:jc w:val="left"/>
            </w:pPr>
            <w:r>
              <w:rPr>
                <w:rFonts w:ascii="Arial" w:cs="Arial" w:eastAsia="Arial" w:hAnsi="Arial"/>
                <w:sz w:val="24"/>
                <w:szCs w:val="24"/>
              </w:rPr>
              <w:t xml:space="preserve">управление</w:t>
            </w:r>
          </w:p>
        </w:tc>
        <w:tc>
          <w:tcPr>
            <w:tcW w:type="dxa" w:w="1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прав доверительного (оперативного)  управления</w:t>
            </w:r>
          </w:p>
        </w:tc>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выполнении условий договора о доверительном (оперативном)  управлении</w:t>
            </w:r>
          </w:p>
        </w:tc>
        <w:tc>
          <w:tcPr>
            <w:tcW w:type="dxa" w:w="1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имущества</w:t>
            </w:r>
          </w:p>
        </w:tc>
      </w:tr>
      <w:tr>
        <w:tc>
          <w:tcPr>
            <w:tcW w:type="dxa" w:w="19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21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2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8 («Основания для передачи прав») выбирается соответствующий классификационный код из справочника Приложения № 12.</w:t>
      </w:r>
    </w:p>
    <w:p>
      <w:pPr>
        <w:spacing w:after="120"/>
        <w:jc w:val="both"/>
      </w:pPr>
      <w:r>
        <w:rPr>
          <w:rFonts w:ascii="Arial" w:cs="Arial" w:eastAsia="Arial" w:hAnsi="Arial"/>
          <w:sz w:val="24"/>
          <w:szCs w:val="24"/>
        </w:rPr>
        <w:t xml:space="preserve">В графе 9 («Вид документа») выбирается соответствующий классификационный код из справочника Приложения № 12.</w:t>
      </w:r>
    </w:p>
    <w:p>
      <w:pPr>
        <w:spacing w:after="120"/>
        <w:jc w:val="both"/>
      </w:pPr>
      <w:r>
        <w:rPr>
          <w:rFonts w:ascii="Arial" w:cs="Arial" w:eastAsia="Arial" w:hAnsi="Arial"/>
          <w:sz w:val="24"/>
          <w:szCs w:val="24"/>
        </w:rPr>
        <w:t xml:space="preserve">В графе 10 («Вид имущества») выбирается соответствующий пятизначный классификационный код из Приложения № 1 Классификатора.</w:t>
      </w:r>
    </w:p>
    <w:p>
      <w:pPr>
        <w:spacing w:after="120"/>
        <w:jc w:val="both"/>
      </w:pPr>
      <w:r>
        <w:rPr>
          <w:rFonts w:ascii="Arial" w:cs="Arial" w:eastAsia="Arial" w:hAnsi="Arial"/>
          <w:sz w:val="24"/>
          <w:szCs w:val="24"/>
        </w:rPr>
        <w:t xml:space="preserve">В графе 20 («Техническое состояние имущества»)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12</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о государственном имуществе, переданном в аренду физическим и юридическим лицам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818"/>
        <w:gridCol w:w="636"/>
        <w:gridCol w:w="636"/>
        <w:gridCol w:w="455"/>
        <w:gridCol w:w="562"/>
        <w:gridCol w:w="750"/>
        <w:gridCol w:w="577"/>
        <w:gridCol w:w="636"/>
        <w:gridCol w:w="636"/>
        <w:gridCol w:w="636"/>
        <w:gridCol w:w="564"/>
        <w:gridCol w:w="636"/>
        <w:gridCol w:w="636"/>
        <w:gridCol w:w="636"/>
        <w:gridCol w:w="727"/>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арендатора (свидетель-ства юри-дического лица, паспорта физичес-кого лица)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паспорта или дата регист-рации свиде-тельства юр. лица</w:t>
            </w:r>
          </w:p>
        </w:tc>
        <w:tc>
          <w:tcPr>
            <w:tcW w:type="dxa" w:w="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ПН арен-да-тора</w:t>
            </w:r>
          </w:p>
        </w:tc>
        <w:tc>
          <w:tcPr>
            <w:tcW w:type="dxa" w:w="5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аренда-тора</w:t>
            </w:r>
          </w:p>
        </w:tc>
        <w:tc>
          <w:tcPr>
            <w:tcW w:type="dxa" w:w="7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аренда-тора</w:t>
            </w:r>
          </w:p>
        </w:tc>
        <w:tc>
          <w:tcPr>
            <w:tcW w:type="dxa" w:w="5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объекта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арендо-дателя (балансо-держа-теля)</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передачи в аренду</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регист-рации документа</w:t>
            </w:r>
          </w:p>
        </w:tc>
        <w:tc>
          <w:tcPr>
            <w:tcW w:type="dxa" w:w="5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доку-мента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Числовое значение</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w:t>
            </w:r>
          </w:p>
          <w:p>
            <w:pPr>
              <w:jc w:val="left"/>
            </w:pPr>
            <w:r>
              <w:rPr>
                <w:rFonts w:ascii="Arial" w:cs="Arial" w:eastAsia="Arial" w:hAnsi="Arial"/>
                <w:sz w:val="24"/>
                <w:szCs w:val="24"/>
              </w:rPr>
              <w:t xml:space="preserve">(для недвижи-мости)</w:t>
            </w: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
        <w:gridCol w:w="636"/>
        <w:gridCol w:w="727"/>
        <w:gridCol w:w="636"/>
        <w:gridCol w:w="727"/>
        <w:gridCol w:w="727"/>
        <w:gridCol w:w="818"/>
        <w:gridCol w:w="818"/>
        <w:gridCol w:w="818"/>
        <w:gridCol w:w="817"/>
        <w:gridCol w:w="909"/>
        <w:gridCol w:w="818"/>
        <w:gridCol w:w="909"/>
      </w:tblGrid>
      <w:tr>
        <w:tc>
          <w:tcPr>
            <w:tcW w:type="dxa" w:w="8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Фактическая площадь арендо-</w:t>
            </w:r>
          </w:p>
          <w:p>
            <w:pPr>
              <w:jc w:val="left"/>
            </w:pPr>
            <w:r>
              <w:rPr>
                <w:rFonts w:ascii="Arial" w:cs="Arial" w:eastAsia="Arial" w:hAnsi="Arial"/>
                <w:sz w:val="24"/>
                <w:szCs w:val="24"/>
              </w:rPr>
              <w:t xml:space="preserve">ванного здания, сооружения</w:t>
            </w:r>
          </w:p>
          <w:p>
            <w:pPr>
              <w:jc w:val="left"/>
            </w:pPr>
            <w:r>
              <w:rPr>
                <w:rFonts w:ascii="Arial" w:cs="Arial" w:eastAsia="Arial" w:hAnsi="Arial"/>
                <w:sz w:val="24"/>
                <w:szCs w:val="24"/>
              </w:rPr>
              <w:t xml:space="preserve">(кв. м)</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помеще-ний  общего пользо-вания (кв.м.)</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характерис-тика арендован-ного имущества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действия договора аренды</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действия договора аренды</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договора аренды (год, месяц, день)</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переданного в аренду</w:t>
            </w:r>
          </w:p>
          <w:p>
            <w:pPr>
              <w:jc w:val="left"/>
            </w:pPr>
            <w:r>
              <w:rPr>
                <w:rFonts w:ascii="Arial" w:cs="Arial" w:eastAsia="Arial" w:hAnsi="Arial"/>
                <w:sz w:val="24"/>
                <w:szCs w:val="24"/>
              </w:rPr>
              <w:t xml:space="preserve">(сом)</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арендной платы (сомов за месяц) </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арендной платы, перечис-ляемая в республи-канский бюджет</w:t>
            </w:r>
          </w:p>
          <w:p>
            <w:pPr>
              <w:jc w:val="left"/>
            </w:pPr>
            <w:r>
              <w:rPr>
                <w:rFonts w:ascii="Arial" w:cs="Arial" w:eastAsia="Arial" w:hAnsi="Arial"/>
                <w:sz w:val="24"/>
                <w:szCs w:val="24"/>
              </w:rPr>
              <w:t xml:space="preserve">(сом за месяц)</w:t>
            </w:r>
          </w:p>
          <w:p>
            <w:pPr>
              <w:jc w:val="left"/>
            </w:pPr>
            <w:r>
              <w:rPr>
                <w:rFonts w:ascii="Arial" w:cs="Arial" w:eastAsia="Arial" w:hAnsi="Arial"/>
                <w:sz w:val="24"/>
                <w:szCs w:val="24"/>
              </w:rPr>
              <w:t xml:space="preserve"/>
            </w:r>
          </w:p>
        </w:tc>
        <w:tc>
          <w:tcPr>
            <w:tcW w:type="dxa" w:w="8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арендной платы за весь период аренды (сом)</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w:t>
            </w:r>
          </w:p>
          <w:p>
            <w:pPr>
              <w:jc w:val="left"/>
            </w:pPr>
            <w:r>
              <w:rPr>
                <w:rFonts w:ascii="Arial" w:cs="Arial" w:eastAsia="Arial" w:hAnsi="Arial"/>
                <w:sz w:val="24"/>
                <w:szCs w:val="24"/>
              </w:rPr>
              <w:t xml:space="preserve">улучшений</w:t>
            </w:r>
          </w:p>
          <w:p>
            <w:pPr>
              <w:jc w:val="left"/>
            </w:pPr>
            <w:r>
              <w:rPr>
                <w:rFonts w:ascii="Arial" w:cs="Arial" w:eastAsia="Arial" w:hAnsi="Arial"/>
                <w:sz w:val="24"/>
                <w:szCs w:val="24"/>
              </w:rPr>
              <w:t xml:space="preserve">(капитальный  ремонт, другие инвестиции) арендованного имущества</w:t>
            </w:r>
          </w:p>
          <w:p>
            <w:pPr>
              <w:jc w:val="left"/>
            </w:pPr>
            <w:r>
              <w:rPr>
                <w:rFonts w:ascii="Arial" w:cs="Arial" w:eastAsia="Arial" w:hAnsi="Arial"/>
                <w:sz w:val="24"/>
                <w:szCs w:val="24"/>
              </w:rPr>
              <w:t xml:space="preserve">(сом)</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выполнении условий договора аренды</w:t>
            </w:r>
          </w:p>
        </w:tc>
        <w:tc>
          <w:tcPr>
            <w:tcW w:type="dxa" w:w="9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имущества</w:t>
            </w:r>
          </w:p>
        </w:tc>
      </w:tr>
      <w:tr>
        <w:tc>
          <w:tcPr>
            <w:tcW w:type="dxa" w:w="8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9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9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10 («Основания для передачи в аренду») выбирается соответствующий классификационный код документа из справочника Приложения № 12.</w:t>
      </w:r>
    </w:p>
    <w:p>
      <w:pPr>
        <w:spacing w:after="120"/>
        <w:jc w:val="both"/>
      </w:pPr>
      <w:r>
        <w:rPr>
          <w:rFonts w:ascii="Arial" w:cs="Arial" w:eastAsia="Arial" w:hAnsi="Arial"/>
          <w:sz w:val="24"/>
          <w:szCs w:val="24"/>
        </w:rPr>
        <w:t xml:space="preserve">В графе 13 («Основные средства») выбирается соответствующий пятизначный классификационный код из Приложения № 1 Классификатора.</w:t>
      </w:r>
    </w:p>
    <w:p>
      <w:pPr>
        <w:spacing w:after="120"/>
        <w:jc w:val="both"/>
      </w:pPr>
      <w:r>
        <w:rPr>
          <w:rFonts w:ascii="Arial" w:cs="Arial" w:eastAsia="Arial" w:hAnsi="Arial"/>
          <w:sz w:val="24"/>
          <w:szCs w:val="24"/>
        </w:rPr>
        <w:t xml:space="preserve">В графе 19 («Краткая характеристика арендованного имущества») указывается характеристика конкретного объекта (имущества) согласно документу о передаче в аренду.</w:t>
      </w:r>
    </w:p>
    <w:p>
      <w:pPr>
        <w:spacing w:after="120"/>
        <w:jc w:val="both"/>
      </w:pPr>
      <w:r>
        <w:rPr>
          <w:rFonts w:ascii="Arial" w:cs="Arial" w:eastAsia="Arial" w:hAnsi="Arial"/>
          <w:sz w:val="24"/>
          <w:szCs w:val="24"/>
        </w:rPr>
        <w:t xml:space="preserve">В графе 28 («Информация о выполнении условий договора аренды») указывается состояние выполненения тех обязательств, которые взял на себя арендатор согласно договору (к примеру, условия вычета затрат по капитальному ремонту из арендной платы): выполнено, не выполнено..</w:t>
      </w:r>
    </w:p>
    <w:p>
      <w:pPr>
        <w:spacing w:after="120"/>
        <w:jc w:val="both"/>
      </w:pPr>
      <w:r>
        <w:rPr>
          <w:rFonts w:ascii="Arial" w:cs="Arial" w:eastAsia="Arial" w:hAnsi="Arial"/>
          <w:sz w:val="24"/>
          <w:szCs w:val="24"/>
        </w:rPr>
        <w:t xml:space="preserve">В графе 29 («Техническое состояние имущества»)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13</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о государственном имуществе, переданном в безвозмездное пользование физическим и юридическим лицам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818"/>
        <w:gridCol w:w="636"/>
        <w:gridCol w:w="636"/>
        <w:gridCol w:w="545"/>
        <w:gridCol w:w="546"/>
        <w:gridCol w:w="677"/>
        <w:gridCol w:w="577"/>
        <w:gridCol w:w="636"/>
        <w:gridCol w:w="636"/>
        <w:gridCol w:w="636"/>
        <w:gridCol w:w="564"/>
        <w:gridCol w:w="636"/>
        <w:gridCol w:w="636"/>
        <w:gridCol w:w="636"/>
        <w:gridCol w:w="727"/>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арендатора (свидетель-ства юри-дического лица, паспорта физичес-кого лица)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паспорта или дата регист-рации свиде-тельства юр. лица</w:t>
            </w:r>
          </w:p>
        </w:tc>
        <w:tc>
          <w:tcPr>
            <w:tcW w:type="dxa" w:w="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ПН пользо-вателя</w:t>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пользо-вателя</w:t>
            </w:r>
          </w:p>
        </w:tc>
        <w:tc>
          <w:tcPr>
            <w:tcW w:type="dxa" w:w="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пользо-вателя</w:t>
            </w:r>
          </w:p>
        </w:tc>
        <w:tc>
          <w:tcPr>
            <w:tcW w:type="dxa" w:w="5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объекта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балансо-держа-теля</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передачи прав безвоз-мездного пользова-ния</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регист-рации документа</w:t>
            </w:r>
          </w:p>
        </w:tc>
        <w:tc>
          <w:tcPr>
            <w:tcW w:type="dxa" w:w="5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доку-мента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Числовое значение</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w:t>
            </w:r>
          </w:p>
          <w:p>
            <w:pPr>
              <w:jc w:val="left"/>
            </w:pPr>
            <w:r>
              <w:rPr>
                <w:rFonts w:ascii="Arial" w:cs="Arial" w:eastAsia="Arial" w:hAnsi="Arial"/>
                <w:sz w:val="24"/>
                <w:szCs w:val="24"/>
              </w:rPr>
              <w:t xml:space="preserve">(для недвижи-мости)</w:t>
            </w: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9"/>
        <w:gridCol w:w="944"/>
        <w:gridCol w:w="1049"/>
        <w:gridCol w:w="1049"/>
        <w:gridCol w:w="1049"/>
        <w:gridCol w:w="1049"/>
        <w:gridCol w:w="945"/>
        <w:gridCol w:w="1049"/>
        <w:gridCol w:w="1049"/>
        <w:gridCol w:w="945"/>
      </w:tblGrid>
      <w:tr>
        <w:tc>
          <w:tcPr>
            <w:tcW w:type="dxa" w:w="10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здания, сооружения, переданного в безвозмездное пользование</w:t>
            </w:r>
          </w:p>
          <w:p>
            <w:pPr>
              <w:jc w:val="left"/>
            </w:pPr>
            <w:r>
              <w:rPr>
                <w:rFonts w:ascii="Arial" w:cs="Arial" w:eastAsia="Arial" w:hAnsi="Arial"/>
                <w:sz w:val="24"/>
                <w:szCs w:val="24"/>
              </w:rPr>
              <w:t xml:space="preserve">(кв. м)</w:t>
            </w:r>
          </w:p>
        </w:tc>
        <w:tc>
          <w:tcPr>
            <w:tcW w:type="dxa" w:w="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помещений  общего пользования (кв.м.)</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характерис-тика пере-данного в безвозмездное пользование имущества</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действия договора безвозмездного пользования имуществом</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действия договора безвозмездного пользования имуществом</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договора безвозмездного пользования имуществом (год, месяц, день)</w:t>
            </w:r>
          </w:p>
        </w:tc>
        <w:tc>
          <w:tcPr>
            <w:tcW w:type="dxa" w:w="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имущества,</w:t>
            </w:r>
          </w:p>
          <w:p>
            <w:pPr>
              <w:jc w:val="left"/>
            </w:pPr>
            <w:r>
              <w:rPr>
                <w:rFonts w:ascii="Arial" w:cs="Arial" w:eastAsia="Arial" w:hAnsi="Arial"/>
                <w:sz w:val="24"/>
                <w:szCs w:val="24"/>
              </w:rPr>
              <w:t xml:space="preserve">переданного в пользова-ние (сом)</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w:t>
            </w:r>
          </w:p>
          <w:p>
            <w:pPr>
              <w:jc w:val="left"/>
            </w:pPr>
            <w:r>
              <w:rPr>
                <w:rFonts w:ascii="Arial" w:cs="Arial" w:eastAsia="Arial" w:hAnsi="Arial"/>
                <w:sz w:val="24"/>
                <w:szCs w:val="24"/>
              </w:rPr>
              <w:t xml:space="preserve">улучшений имущества</w:t>
            </w:r>
          </w:p>
          <w:p>
            <w:pPr>
              <w:jc w:val="left"/>
            </w:pPr>
            <w:r>
              <w:rPr>
                <w:rFonts w:ascii="Arial" w:cs="Arial" w:eastAsia="Arial" w:hAnsi="Arial"/>
                <w:sz w:val="24"/>
                <w:szCs w:val="24"/>
              </w:rPr>
              <w:t xml:space="preserve">(капитальный  ремонт, другие инвестиции)</w:t>
            </w:r>
          </w:p>
          <w:p>
            <w:pPr>
              <w:jc w:val="left"/>
            </w:pPr>
            <w:r>
              <w:rPr>
                <w:rFonts w:ascii="Arial" w:cs="Arial" w:eastAsia="Arial" w:hAnsi="Arial"/>
                <w:sz w:val="24"/>
                <w:szCs w:val="24"/>
              </w:rPr>
              <w:t xml:space="preserve">(сом)</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выполнении условий договора</w:t>
            </w:r>
          </w:p>
        </w:tc>
        <w:tc>
          <w:tcPr>
            <w:tcW w:type="dxa" w:w="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имущества</w:t>
            </w:r>
          </w:p>
        </w:tc>
      </w:tr>
      <w:tr>
        <w:tc>
          <w:tcPr>
            <w:tcW w:type="dxa" w:w="1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10 («Основания для передачи прав безвозмездного пользования») выбирается соответствующий классификационный код документа из справочника Приложения № 12.</w:t>
      </w:r>
    </w:p>
    <w:p>
      <w:pPr>
        <w:spacing w:after="120"/>
        <w:jc w:val="both"/>
      </w:pPr>
      <w:r>
        <w:rPr>
          <w:rFonts w:ascii="Arial" w:cs="Arial" w:eastAsia="Arial" w:hAnsi="Arial"/>
          <w:sz w:val="24"/>
          <w:szCs w:val="24"/>
        </w:rPr>
        <w:t xml:space="preserve">В графе 13 («Основные средства») выбирается соответствующий пятизначный классификационный код из Приложения № 1 Классификатора.</w:t>
      </w:r>
    </w:p>
    <w:p>
      <w:pPr>
        <w:spacing w:after="120"/>
        <w:jc w:val="both"/>
      </w:pPr>
      <w:r>
        <w:rPr>
          <w:rFonts w:ascii="Arial" w:cs="Arial" w:eastAsia="Arial" w:hAnsi="Arial"/>
          <w:sz w:val="24"/>
          <w:szCs w:val="24"/>
        </w:rPr>
        <w:t xml:space="preserve">В графе 19 («Краткая характеристика переданного в безвозмездное пользование имущества») указывается характеристика конкретного объекта (имущества) согласно документу о передаче в пользование.</w:t>
      </w:r>
    </w:p>
    <w:p>
      <w:pPr>
        <w:spacing w:after="120"/>
        <w:jc w:val="both"/>
      </w:pPr>
      <w:r>
        <w:rPr>
          <w:rFonts w:ascii="Arial" w:cs="Arial" w:eastAsia="Arial" w:hAnsi="Arial"/>
          <w:sz w:val="24"/>
          <w:szCs w:val="24"/>
        </w:rPr>
        <w:t xml:space="preserve">В графе 25 («Информация о выполнении условий договора») указывается состояние выполненения тех обязательств, которые взял на себя пользователь (физическое или юридическое лицо) согласно договору.</w:t>
      </w:r>
    </w:p>
    <w:p>
      <w:pPr>
        <w:spacing w:after="120"/>
        <w:jc w:val="both"/>
      </w:pPr>
      <w:r>
        <w:rPr>
          <w:rFonts w:ascii="Arial" w:cs="Arial" w:eastAsia="Arial" w:hAnsi="Arial"/>
          <w:sz w:val="24"/>
          <w:szCs w:val="24"/>
        </w:rPr>
        <w:t xml:space="preserve">В графе 26 («Техническое состояние имущества»)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p>
      <w:pPr>
        <w:spacing w:after="120"/>
        <w:jc w:val="both"/>
      </w:pPr>
      <w:r>
        <w:rPr>
          <w:rFonts w:ascii="Arial" w:cs="Arial" w:eastAsia="Arial" w:hAnsi="Arial"/>
          <w:sz w:val="24"/>
          <w:szCs w:val="24"/>
        </w:rPr>
        <w:t xml:space="preserve">Форма № 14</w:t>
      </w:r>
    </w:p>
    <w:p>
      <w:pPr>
        <w:spacing w:after="120"/>
        <w:jc w:val="both"/>
      </w:pPr>
      <w:r>
        <w:rPr>
          <w:rFonts w:ascii="Arial" w:cs="Arial" w:eastAsia="Arial" w:hAnsi="Arial"/>
          <w:sz w:val="24"/>
          <w:szCs w:val="24"/>
        </w:rPr>
        <w:t xml:space="preserve">к Методическим инструкциям по ведению ЕРГИ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объем передачи данных в единый реестр государственного имущества</w:t>
      </w:r>
    </w:p>
    <w:p>
      <w:pPr>
        <w:spacing w:after="120"/>
        <w:jc w:val="both"/>
      </w:pPr>
      <w:r>
        <w:rPr>
          <w:rFonts w:ascii="Arial" w:cs="Arial" w:eastAsia="Arial" w:hAnsi="Arial"/>
          <w:sz w:val="24"/>
          <w:szCs w:val="24"/>
        </w:rPr>
        <w:t xml:space="preserve">об объектах государственной собственности, находящихся на ответственном хранении (в пользовании)</w:t>
      </w:r>
    </w:p>
    <w:p>
      <w:pPr>
        <w:spacing w:after="120"/>
        <w:jc w:val="both"/>
      </w:pPr>
      <w:r>
        <w:rPr>
          <w:rFonts w:ascii="Arial" w:cs="Arial" w:eastAsia="Arial" w:hAnsi="Arial"/>
          <w:sz w:val="24"/>
          <w:szCs w:val="24"/>
        </w:rPr>
        <w:t xml:space="preserve">приватизированных государственных предприятий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714"/>
        <w:gridCol w:w="671"/>
        <w:gridCol w:w="523"/>
        <w:gridCol w:w="544"/>
        <w:gridCol w:w="542"/>
        <w:gridCol w:w="634"/>
        <w:gridCol w:w="724"/>
        <w:gridCol w:w="542"/>
        <w:gridCol w:w="544"/>
        <w:gridCol w:w="542"/>
        <w:gridCol w:w="724"/>
        <w:gridCol w:w="724"/>
        <w:gridCol w:w="814"/>
        <w:gridCol w:w="685"/>
        <w:gridCol w:w="714"/>
      </w:tblGrid>
      <w:tr>
        <w:tc>
          <w:tcPr>
            <w:tcW w:type="dxa" w:w="5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ГО</w:t>
            </w:r>
          </w:p>
          <w:p>
            <w:pPr>
              <w:jc w:val="left"/>
            </w:pPr>
            <w:r>
              <w:rPr>
                <w:rFonts w:ascii="Arial" w:cs="Arial" w:eastAsia="Arial" w:hAnsi="Arial"/>
                <w:sz w:val="24"/>
                <w:szCs w:val="24"/>
              </w:rPr>
              <w:t xml:space="preserve">подотчет-</w:t>
            </w:r>
          </w:p>
          <w:p>
            <w:pPr>
              <w:jc w:val="left"/>
            </w:pPr>
            <w:r>
              <w:rPr>
                <w:rFonts w:ascii="Arial" w:cs="Arial" w:eastAsia="Arial" w:hAnsi="Arial"/>
                <w:sz w:val="24"/>
                <w:szCs w:val="24"/>
              </w:rPr>
              <w:t xml:space="preserve">ного лица</w:t>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Действие, регистрируемое в реестре (включение, актуализация, исключение объекта учета реестра)</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пользова-теля</w:t>
            </w:r>
          </w:p>
        </w:tc>
        <w:tc>
          <w:tcPr>
            <w:tcW w:type="dxa" w:w="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пользо-вателя</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пользо-вателя</w:t>
            </w:r>
          </w:p>
        </w:tc>
        <w:tc>
          <w:tcPr>
            <w:tcW w:type="dxa" w:w="5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w:t>
            </w:r>
          </w:p>
          <w:p>
            <w:pPr>
              <w:jc w:val="left"/>
            </w:pPr>
            <w:r>
              <w:rPr>
                <w:rFonts w:ascii="Arial" w:cs="Arial" w:eastAsia="Arial" w:hAnsi="Arial"/>
                <w:sz w:val="24"/>
                <w:szCs w:val="24"/>
              </w:rPr>
              <w:t xml:space="preserve">вание пользова-теля</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объекта</w:t>
            </w:r>
          </w:p>
        </w:tc>
        <w:tc>
          <w:tcPr>
            <w:tcW w:type="dxa" w:w="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передачи прав хранения (пользо-вания)</w:t>
            </w:r>
          </w:p>
        </w:tc>
        <w:tc>
          <w:tcPr>
            <w:tcW w:type="dxa" w:w="5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доку-мента</w:t>
            </w:r>
          </w:p>
        </w:tc>
        <w:tc>
          <w:tcPr>
            <w:tcW w:type="dxa" w:w="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иму-щества (основ-ные средства)</w:t>
            </w:r>
          </w:p>
        </w:tc>
        <w:tc>
          <w:tcPr>
            <w:tcW w:type="dxa" w:w="5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ЕНИ</w:t>
            </w:r>
          </w:p>
          <w:p>
            <w:pPr>
              <w:jc w:val="left"/>
            </w:pPr>
            <w:r>
              <w:rPr>
                <w:rFonts w:ascii="Arial" w:cs="Arial" w:eastAsia="Arial" w:hAnsi="Arial"/>
                <w:sz w:val="24"/>
                <w:szCs w:val="24"/>
              </w:rPr>
              <w:t xml:space="preserve">(для недвижи-мости)</w:t>
            </w:r>
          </w:p>
        </w:tc>
        <w:tc>
          <w:tcPr>
            <w:tcW w:type="dxa" w:w="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здания, сооружения, переданного на хранение</w:t>
            </w:r>
          </w:p>
          <w:p>
            <w:pPr>
              <w:jc w:val="left"/>
            </w:pPr>
            <w:r>
              <w:rPr>
                <w:rFonts w:ascii="Arial" w:cs="Arial" w:eastAsia="Arial" w:hAnsi="Arial"/>
                <w:sz w:val="24"/>
                <w:szCs w:val="24"/>
              </w:rPr>
              <w:t xml:space="preserve">(в пользо-вание)</w:t>
            </w:r>
          </w:p>
          <w:p>
            <w:pPr>
              <w:jc w:val="left"/>
            </w:pPr>
            <w:r>
              <w:rPr>
                <w:rFonts w:ascii="Arial" w:cs="Arial" w:eastAsia="Arial" w:hAnsi="Arial"/>
                <w:sz w:val="24"/>
                <w:szCs w:val="24"/>
              </w:rPr>
              <w:t xml:space="preserve">(кв. м)</w:t>
            </w:r>
          </w:p>
        </w:tc>
        <w:tc>
          <w:tcPr>
            <w:tcW w:type="dxa" w:w="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характерис-тика имущества, переданного на хранение (в пользо-вание) </w:t>
            </w:r>
          </w:p>
        </w:tc>
        <w:tc>
          <w:tcPr>
            <w:tcW w:type="dxa" w:w="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передачи имущества</w:t>
            </w:r>
          </w:p>
          <w:p>
            <w:pPr>
              <w:jc w:val="left"/>
            </w:pPr>
            <w:r>
              <w:rPr>
                <w:rFonts w:ascii="Arial" w:cs="Arial" w:eastAsia="Arial" w:hAnsi="Arial"/>
                <w:sz w:val="24"/>
                <w:szCs w:val="24"/>
              </w:rPr>
              <w:t xml:space="preserve">на хранение</w:t>
            </w:r>
          </w:p>
          <w:p>
            <w:pPr>
              <w:jc w:val="left"/>
            </w:pPr>
            <w:r>
              <w:rPr>
                <w:rFonts w:ascii="Arial" w:cs="Arial" w:eastAsia="Arial" w:hAnsi="Arial"/>
                <w:sz w:val="24"/>
                <w:szCs w:val="24"/>
              </w:rPr>
              <w:t xml:space="preserve">(в пользо-вание)</w:t>
            </w:r>
          </w:p>
        </w:tc>
        <w:tc>
          <w:tcPr>
            <w:tcW w:type="dxa" w:w="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прав хранения (пользо-вания)</w:t>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передан-ного на хранение (в пользова-ние) (сом)</w:t>
            </w:r>
          </w:p>
        </w:tc>
      </w:tr>
      <w:tr>
        <w:tc>
          <w:tcPr>
            <w:tcW w:type="dxa" w:w="5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0"/>
        <w:gridCol w:w="4818"/>
      </w:tblGrid>
      <w:tr>
        <w:tc>
          <w:tcPr>
            <w:tcW w:type="dxa" w:w="53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выполнении условий договора</w:t>
            </w:r>
          </w:p>
          <w:p>
            <w:pPr>
              <w:jc w:val="left"/>
            </w:pPr>
            <w:r>
              <w:rPr>
                <w:rFonts w:ascii="Arial" w:cs="Arial" w:eastAsia="Arial" w:hAnsi="Arial"/>
                <w:sz w:val="24"/>
                <w:szCs w:val="24"/>
              </w:rPr>
              <w:t xml:space="preserve"/>
            </w:r>
          </w:p>
        </w:tc>
        <w:tc>
          <w:tcPr>
            <w:tcW w:type="dxa" w:w="48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состояние имущества</w:t>
            </w:r>
          </w:p>
        </w:tc>
      </w:tr>
      <w:tr>
        <w:tc>
          <w:tcPr>
            <w:tcW w:type="dxa" w:w="5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(«Код ГО подотчетного лица») указывается соответствующий код государственного органа из справочника Приложения № 3.</w:t>
      </w:r>
    </w:p>
    <w:p>
      <w:pPr>
        <w:spacing w:after="120"/>
        <w:jc w:val="both"/>
      </w:pPr>
      <w:r>
        <w:rPr>
          <w:rFonts w:ascii="Arial" w:cs="Arial" w:eastAsia="Arial" w:hAnsi="Arial"/>
          <w:sz w:val="24"/>
          <w:szCs w:val="24"/>
        </w:rPr>
        <w:t xml:space="preserve">В графе 8 («Основания для передачи прав хранения (пользования)») выбирается соответствующий классификационный код документа из справочника Приложения № 12.</w:t>
      </w:r>
    </w:p>
    <w:p>
      <w:pPr>
        <w:spacing w:after="120"/>
        <w:jc w:val="both"/>
      </w:pPr>
      <w:r>
        <w:rPr>
          <w:rFonts w:ascii="Arial" w:cs="Arial" w:eastAsia="Arial" w:hAnsi="Arial"/>
          <w:sz w:val="24"/>
          <w:szCs w:val="24"/>
        </w:rPr>
        <w:t xml:space="preserve">В графе 10 («Вид имущества (основные средства») выбирается соответствующий пятизначный классификационный код из Приложения № 1 Классификатора.</w:t>
      </w:r>
    </w:p>
    <w:p>
      <w:pPr>
        <w:spacing w:after="120"/>
        <w:jc w:val="both"/>
      </w:pPr>
      <w:r>
        <w:rPr>
          <w:rFonts w:ascii="Arial" w:cs="Arial" w:eastAsia="Arial" w:hAnsi="Arial"/>
          <w:sz w:val="24"/>
          <w:szCs w:val="24"/>
        </w:rPr>
        <w:t xml:space="preserve">В графе 13 («Краткая характеристика имущества, переданного на хранение (в пользование)») указывается характеристика конкретного объекта (имущества) согласно документу о передаче в пользование.</w:t>
      </w:r>
    </w:p>
    <w:p>
      <w:pPr>
        <w:spacing w:after="120"/>
        <w:jc w:val="both"/>
      </w:pPr>
      <w:r>
        <w:rPr>
          <w:rFonts w:ascii="Arial" w:cs="Arial" w:eastAsia="Arial" w:hAnsi="Arial"/>
          <w:sz w:val="24"/>
          <w:szCs w:val="24"/>
        </w:rPr>
        <w:t xml:space="preserve">В графе 17 («Информация о выполнении условий договора») указывается состояние выполненения тех обязательств, которые взял на себя пользователь (физическое или юридическое лицо) согласно договору.</w:t>
      </w:r>
    </w:p>
    <w:p>
      <w:pPr>
        <w:spacing w:after="120"/>
        <w:jc w:val="both"/>
      </w:pPr>
      <w:r>
        <w:rPr>
          <w:rFonts w:ascii="Arial" w:cs="Arial" w:eastAsia="Arial" w:hAnsi="Arial"/>
          <w:sz w:val="24"/>
          <w:szCs w:val="24"/>
        </w:rPr>
        <w:t xml:space="preserve">В графе 18 («Техническое состояние имущества») выбирается соответствующий классификационный код из справочника Приложения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остальные графы данной формы предназначены для ручного ввода. Термины, понятия и сокращения, используемые в данных графах приведены в справочнике, утвержденном Приложением № 2.</w:t>
      </w:r>
    </w:p>
    <w:p>
      <w:pPr>
        <w:spacing w:after="120"/>
        <w:jc w:val="both"/>
      </w:pPr>
      <w:r>
        <w:rPr>
          <w:rFonts w:ascii="Arial" w:cs="Arial" w:eastAsia="Arial" w:hAnsi="Arial"/>
          <w:sz w:val="24"/>
          <w:szCs w:val="24"/>
        </w:rPr>
        <w:t xml:space="preserve">Во всех формах в графе («Действие, регистрируемое в реестре (включение, актуализация, исключение объекта учета реестра)») выбирается одни из трех вариантов: 1.включение, 2.актуализация, 3.исключение.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szxaj59jdnzwfayl_66">
      <w:r>
        <w:rPr>
          <w:rFonts w:ascii="Arial" w:cs="Arial" w:eastAsia="Arial" w:hAnsi="Arial"/>
          <w:color w:val="132D3F"/>
          <w:sz w:val="16"/>
          <w:szCs w:val="16"/>
          <w:u w:val="single"/>
        </w:rPr>
        <w:t xml:space="preserve">dalil.kg/document/200117</w:t>
      </w:r>
    </w:hyperlink>
  </w:p>
  <w:p>
    <w:pPr>
      <w:spacing w:after="0" w:before="40"/>
      <w:jc w:val="center"/>
    </w:pPr>
    <w:hyperlink w:history="1" r:id="rIdz-fb4ev6hgnuxesnq8y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7czzz9ebt6ob5prvg0" Type="http://schemas.openxmlformats.org/officeDocument/2006/relationships/hyperlink" Target="https://dalil.kg/document/200117" TargetMode="External"/><Relationship Id="rIdj2txfazu2tq_exewaxwy1" Type="http://schemas.openxmlformats.org/officeDocument/2006/relationships/hyperlink" Target="https://dalil.kg/document/2001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szxaj59jdnzwfayl_66" Type="http://schemas.openxmlformats.org/officeDocument/2006/relationships/hyperlink" Target="https://dalil.kg/document/200117" TargetMode="External"/><Relationship Id="rIdz-fb4ev6hgnuxesnq8y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2026-10-04T04:31:09.127Z</dcterms:created>
  <dcterms:modified xsi:type="dcterms:W3CDTF">2026-10-04T04:31:09.127Z</dcterms:modified>
</cp:coreProperties>
</file>

<file path=docProps/custom.xml><?xml version="1.0" encoding="utf-8"?>
<Properties xmlns="http://schemas.openxmlformats.org/officeDocument/2006/custom-properties" xmlns:vt="http://schemas.openxmlformats.org/officeDocument/2006/docPropsVTypes"/>
</file>