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ДОРОГ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МТиД КР от 6 июля 2017 года № 226 "Об утверждении "Нормы затрат времени на постоянный технический надзор (дорожные консультационные услуги) по видам дорожных работ"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постоянного технического контроля за строительством, реконструкцией, ремонтом и содержанием автомобильных дорог и дорожных сооружений в Кыргызской Республике, во исполнение </w:t>
      </w:r>
      <w:hyperlink w:history="1" r:id="rIdfdk2pqhsp4l_n4o9x_x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декабря 2014 года № 742 и руководствуясь </w:t>
      </w:r>
      <w:hyperlink w:history="1" r:id="rIdowrrndusgc0au5uigj2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pyx2i7gjt6d8kktmc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"Об утверждении "Нормы затрат времени на постоянный технический надзор (дорожные консультационные услуги) по видам дорожных работ" от 6 июля 2017 года № 226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1 </w:t>
      </w:r>
      <w:r>
        <w:rPr>
          <w:rFonts w:ascii="Arial" w:cs="Arial" w:eastAsia="Arial" w:hAnsi="Arial"/>
          <w:sz w:val="24"/>
          <w:szCs w:val="24"/>
        </w:rPr>
        <w:t xml:space="preserve">к указанному приказу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"396,3" заменить на цифры "115,49".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Досумбетову К.Р. обеспечить опубликование настоящего приказа на официальном веб-сайте Правительства Кыргызской Республики, а также на веб-сайте Министерства транспорта и дорог Кыргызской Республики, в течение трех рабочих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автомобильных дорог Министерства транспорта и дорог Кыргызской Республики со дня официального опубликования направить настоящий приказ в Министерство юстиции Кыргызской Республики,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дорожного хозяйства при Министерстве транспорта и дорог Кыргызской Республики, руководствоваться внесенным изменением.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транспорта и дорог Кыргызской Республики Жусубалиева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транспорта и дорог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Ж.Калилов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p3sgyeugy2avdaaztlt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
 от 28 декабря 2017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</w:t>
      </w:r>
      <w:r>
        <w:rPr>
          <w:rFonts w:ascii="Arial" w:cs="Arial" w:eastAsia="Arial" w:hAnsi="Arial"/>
          <w:sz w:val="24"/>
          <w:szCs w:val="24"/>
        </w:rPr>
        <w:t xml:space="preserve">
 расчета по определению плановых объемов средств на дорожные консультационные услуги (постоянный технический надзор)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39-2</w:t>
      </w:r>
      <w:r>
        <w:rPr>
          <w:rFonts w:ascii="Arial" w:cs="Arial" w:eastAsia="Arial" w:hAnsi="Arial"/>
          <w:sz w:val="24"/>
          <w:szCs w:val="24"/>
        </w:rPr>
        <w:t xml:space="preserve"> Закона КР "</w:t>
      </w:r>
      <w:hyperlink w:history="1" r:id="rIde7oz-l1fxhmqx-63-pf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автомобильных дорогах</w:t>
        </w:r>
      </w:hyperlink>
      <w:r>
        <w:rPr>
          <w:rFonts w:ascii="Arial" w:cs="Arial" w:eastAsia="Arial" w:hAnsi="Arial"/>
          <w:sz w:val="24"/>
          <w:szCs w:val="24"/>
        </w:rPr>
        <w:t xml:space="preserve">" базовые цены на виды дорожных консультационных услуг (постоянный технический контроль) используются исключительно для планирования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 по определению плановых объемов средств на дорожные консультационные услуги (далее Порядок) устанавливает порядок расчета планируемых средств на дорожные консультационные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цен на дорожные консультационные услуги используются: Приложение 1, 2 к данному Порядку "Нормы затрат времени на постоянный технический надзор (дорожные консультационные услуги) по видам дорожных работ" (далее Нормы); - среднечасовая ставка инженера-консультанта.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Норме находим вид планируемой дорожной работы, на которую рассчитываются дорожные консультационные услуги и по соответствующей таблице определяем норму затрат (в часах) на определенный объем (Измеритель) данного вида работы и норму труда затрат на вид дорожных консультационных услуг (в таблице указано как процент от трудозатрат на вид дорожной 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Норму трудозатрат времени на планируемую дорожную работу приводим в соответствие с объемами планируемых дорожных работ (Пример: Единица измерения - 1000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объем планируемых дорожных работ - 2000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норма времени - 10 часов. Приведение в соответствие с объемом: 2000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: 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х 10 = 20 часов).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трудозатраты на вид дорожных консультационных услуг в соответствующей таблице указано в нескольких позициях, тогда рассчитываем их сумму (Пример: 30% + 10% = 40%).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Рассчитывается норма трудозатрат на вид дорожных консультационных услуг в часах, путем умножения трудозатрат на планируемый объем дорожной работы на трудозатраты на вид дорожных консультационных услуг в процентах (Пример: 20 часов х 40% = 8 часов).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Рассчитанную норму трудозатрат на вид дорожных консультационных услуг в часах, умножаем на среднечасовую ставку инженера-консультанта (Пример: среднечасовую ставку инженера-консультанта - 50 сом. Трудозатраты на вид дорожных консультационных услуг в сомах 8 часов х 50 сом = 400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Учитываем отчисления социальным выплатам, уплачиваемые юридическими лицами от заработной платы (Пример: 400 сом х 17,25% = 69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дополнительные затраты на транспортные расходы, командировочные поездки, лабораторные тесты, связь другие вспомогательные работы в размере 50% от заработной платы инженера-консультанта (Пример: 400 сом х 50% = 200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Учитываем налог на добавленную стоимость и налог с продаж (Пример: (400 + 200) х 12% + (400 + 200) х 2% = 84,0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Учитываем прибыль в размере 8% (Пример: (400 + 200) х 8% = 48,0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к Порядку расчета по определению плановых объемов средств на дорожные консультационные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объема средств на постоянный технический надзор при "Устройстве покрытия толщиной 4 см из горячих асфальтобетонных смесей объемом 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нормах затрат времени на постоянный технический надзор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приказу Министерства транспорта и дорог Кыргызской Республики от 06.07.2017 г. № 226) находим трудозатраты в таблице КРЕР27-06-020-01 на 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устройство асфальтобетонные покрытия толщиной 4 см из горячих асфальтобетонных смесей". Затраты труда на 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составляют - 13,07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Находим норму времени на 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устройство асфальтобетонные покрытия: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: 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* 13,07 час = 84,89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планируемый объем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единица измерения;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13,07 час - норма времени на устройства 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асфальтобетонные покрытия толщиной 4 см из горячих асфальтобетонных смесей.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в таблице КРЕР27-06-020-01 находим трудозатраты на постоянный технический надзор: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 дорожник - 40%, ((6500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: 1000) * 13,07) * 40% = 33,95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 топограф - 40%, ((6500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: 1000) * 13,07) * 40% = 33,95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вспомогательный персонал - 30%, ((6500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: 1000) * 13,07) * 30% = 25,47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затраты труда консультантов (33,95 + 33,95 + 25,47) = 93,37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 определили, что на постоянный технический надзор за "Устройством покрытия толщиной 4 см из горячих асфальтобетонных смесей объемом 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" будет затрачено всего 93,37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примера мы будем использовать среднечасовую ставку по заработной плате инженера консультанта равной 50 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93,37 * 50 сом = 4668,5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 - 17,25% от заработной 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4668,5 сом * 17,25% = 805,32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дополнительных затрат: Учитываем дополнительные затраты на транспортные расходы, командировочные поездки, лабораторные тесты, связь и другие вспомогательные работы в размере 50% от заработной платы инженера-консультанта.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4668,5 * 50% = 2334,25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НДС (12%) и налога с продаж (2%):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(4668,5 + 2334,25) * (12% + 2%) = 980,38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рентабельности в размере 8%: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(4668,5 + 2334,25) * 8% = 560,22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4668,5 + 805,32 + 2334,25 + 980,38 + 560,22 = 9348,67.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примере определен объем средств равный сумме 9348,67 сом на постоянный технический надзор за "Устройством покрытия толщиной 4 см из горячих асфальтобетонных смесей объемом 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2008 года № 92 - норматив затрат на содержание службы заказчика-застройщика, осуществляющего строительство на территории Кыргызской Республики с использованием средств за счет государственного и местного бюджетов, в размере 2,9 процентов от объема инвестиции в основной капитал (капитальных вложений) и затрат на ремонт основных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экономии бюджетных средств при закупке дорожных консультационных услуг в Кыргызской Республике будем использовать 1,4 процентов от стоимости объема строительных и ремонтных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Определим среднечасовую ставку инженера-консультанта: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(4668,5 + 2334,25 * 1,4 / 84,89 = 115,49 сом,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4669,5 сом - общая заработная плата инженера-консультанта за "Устройством покрытия толщиной 4 см из горячих асфальтобетонных смесей объемом 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2334,25 сом - дополнительные затраты (транспортные, командировочные и т.д. вспомогательные расходы);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1,4 - коэффициент от общего объема работ, для технического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84,89 часов - затраченное время на устройство асфальтобетонного покрытия площадью 6500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xkgcwx9qwxyyfln8o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dalil.kg/document/200234</w:t>
      </w:r>
    </w:hyperlink>
  </w:p>
  <w:p>
    <w:pPr>
      <w:spacing w:after="0" w:before="40"/>
      <w:jc w:val="center"/>
    </w:pPr>
    <w:hyperlink w:history="1" r:id="rIdrqyicwmgzyomobdr5zb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k2pqhsp4l_n4o9x_x0z" Type="http://schemas.openxmlformats.org/officeDocument/2006/relationships/hyperlink" Target="https://dalil.kg/document/97226" TargetMode="External"/><Relationship Id="rIdowrrndusgc0au5uigj2iv" Type="http://schemas.openxmlformats.org/officeDocument/2006/relationships/hyperlink" Target="https://dalil.kg/document/96978" TargetMode="External"/><Relationship Id="rIdkppyx2i7gjt6d8kktmc8m" Type="http://schemas.openxmlformats.org/officeDocument/2006/relationships/hyperlink" Target="https://dalil.kg/document/200159" TargetMode="External"/><Relationship Id="rIdp3sgyeugy2avdaaztlt4e" Type="http://schemas.openxmlformats.org/officeDocument/2006/relationships/hyperlink" Target="https://dalil.kg/document/200234" TargetMode="External"/><Relationship Id="rIde7oz-l1fxhmqx-63-pfeh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xkgcwx9qwxyyfln8ozi" Type="http://schemas.openxmlformats.org/officeDocument/2006/relationships/hyperlink" Target="https://dalil.kg/document/200234" TargetMode="External"/><Relationship Id="rIdrqyicwmgzyomobdr5zb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2026-10-03T04:21:52.489Z</dcterms:created>
  <dcterms:modified xsi:type="dcterms:W3CDTF">2026-10-03T04:21:52.489Z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