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АГЕНТСТВА ПО РЕГУЛИРОВАНИЮ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ТОПЛИВНО-ЭНЕРГЕТИЧЕСКОГО КОМПЛЕКСА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ПРАВИТЕЛЬСТВЕ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2020 года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r>
        <w:rPr>
          <w:rFonts w:ascii="Arial" w:cs="Arial" w:eastAsia="Arial" w:hAnsi="Arial"/>
          <w:sz w:val="24"/>
          <w:szCs w:val="24"/>
        </w:rPr>
        <w:t xml:space="preserve">норматив</w:t>
      </w:r>
      <w:r>
        <w:rPr>
          <w:rFonts w:ascii="Arial" w:cs="Arial" w:eastAsia="Arial" w:hAnsi="Arial"/>
          <w:sz w:val="24"/>
          <w:szCs w:val="24"/>
        </w:rPr>
        <w:t xml:space="preserve"> потерь природного газа Общества с ограниченной ответственностью «Газпром Кыргызстан»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lg5_s5jpcp_es1ld8f9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9y42v-iiwodh-qu7ry-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530, </w:t>
      </w:r>
      <w:hyperlink w:history="1" r:id="rId9yfb42zox50xscurdiq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Методикой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нормативных потерь природного газа на предприятиях газового хозяйства Кыргызской Республики, утвержденного постановлением Правительства Кыргызской Республики от 31 июля 2018 года № 358,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норматив</w:t>
      </w:r>
      <w:r>
        <w:rPr>
          <w:rFonts w:ascii="Arial" w:cs="Arial" w:eastAsia="Arial" w:hAnsi="Arial"/>
          <w:sz w:val="24"/>
          <w:szCs w:val="24"/>
        </w:rPr>
        <w:t xml:space="preserve"> потерь природного газа Общества с ограниченной ответственностью «Газпром Кыргызстан» на 2019 год согласно </w:t>
      </w:r>
      <w:hyperlink w:history="1" r:id="rIdeeilry1xse_dp0fxoff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 Государственного агентства по регулированию топливно-энергетического комплекса при Правительстве Кыргызской Республики опубликовать настоящий приказ в соответствии с </w:t>
      </w:r>
      <w:hyperlink w:history="1" r:id="rId9ia0pttntbtgmbxxy9r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правовой поддержки Государственного агентства по регулированию топливно-энергетического комплекса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Т.И.Нурбашев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приказу Государственного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агентства по регулированию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топливно-энергетического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комплекса при Правительстве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«17»января 2020 года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 потерь природного газа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Общества с ограниченной ответственностью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«Газпром Кыргызстан»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0"/>
        <w:gridCol w:w="5398"/>
      </w:tblGrid>
      <w:tr>
        <w:tc>
          <w:tcPr>
            <w:tcW w:type="dxa" w:w="47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потерь</w:t>
            </w:r>
          </w:p>
        </w:tc>
        <w:tc>
          <w:tcPr>
            <w:tcW w:type="dxa" w:w="5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tcW w:type="dxa" w:w="47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природного газа в газопроводах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9,1% от объема природного газа, поступившего в газотранспортную систему ОсОО «Газпром Кыргызстан»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20zqrg8-d-shjxfyt2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dalil.kg/document/200411</w:t>
      </w:r>
    </w:hyperlink>
  </w:p>
  <w:p>
    <w:pPr>
      <w:spacing w:after="0" w:before="40"/>
      <w:jc w:val="center"/>
    </w:pPr>
    <w:hyperlink w:history="1" r:id="rIdxok0j7eohsqiw8lgicl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5_s5jpcp_es1ld8f9gq" Type="http://schemas.openxmlformats.org/officeDocument/2006/relationships/hyperlink" Target="https://dalil.kg/document/202591" TargetMode="External"/><Relationship Id="rId9y42v-iiwodh-qu7ry-4a" Type="http://schemas.openxmlformats.org/officeDocument/2006/relationships/hyperlink" Target="https://dalil.kg/document/96978" TargetMode="External"/><Relationship Id="rId9yfb42zox50xscurdiqvo" Type="http://schemas.openxmlformats.org/officeDocument/2006/relationships/hyperlink" Target="https://dalil.kg/document/12266" TargetMode="External"/><Relationship Id="rIdeeilry1xse_dp0fxoffbn" Type="http://schemas.openxmlformats.org/officeDocument/2006/relationships/hyperlink" Target="https://dalil.kg/document/200411#p1" TargetMode="External"/><Relationship Id="rId9ia0pttntbtgmbxxy9r_6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20zqrg8-d-shjxfyt25k" Type="http://schemas.openxmlformats.org/officeDocument/2006/relationships/hyperlink" Target="https://dalil.kg/document/200411" TargetMode="External"/><Relationship Id="rIdxok0j7eohsqiw8lgicl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2026-10-01T04:00:19.202Z</dcterms:created>
  <dcterms:modified xsi:type="dcterms:W3CDTF">2026-10-01T04:00:19.202Z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