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atkcdiubeuely9wdss6w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Министерства строительства, архитектуры и жилищно-коммунального хозяйства  КР от  9 февраля 2026 года № 110-нпа )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ГОСУДАРСТВЕННОГО АГЕНТСТВА АРХИТЕКТУРЫ, СТРОИТЕЛЬСТВА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ЖИЛИЩНО-КОММУНАЛЬНОГО ХОЗЯЙСТВА ПРИ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КАБИНЕТЕ МИНИСТРОВ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 ноября</w:t>
      </w:r>
      <w:r>
        <w:rPr>
          <w:rFonts w:ascii="Arial" w:cs="Arial" w:eastAsia="Arial" w:hAnsi="Arial"/>
          <w:sz w:val="24"/>
          <w:szCs w:val="24"/>
        </w:rPr>
        <w:t xml:space="preserve"> 2021 года № 4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-нпа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Методики расчёта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индексов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изменения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сметной стоимости строительства на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yt35jhl1n4kwf6zhp_y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самоуправления» от 15 сентября 2014 года № 530, в целях актуализации системы сметных нормативов в соответствии с требованиями рыночных цен, соблюдения единого методологического подхода при определении сметной стоимости строительства,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osn-rg2gle1ay0ztc1o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Методику расчета</w:t>
        </w:r>
      </w:hyperlink>
      <w:r>
        <w:rPr>
          <w:rFonts w:ascii="Arial" w:cs="Arial" w:eastAsia="Arial" w:hAnsi="Arial"/>
          <w:sz w:val="24"/>
          <w:szCs w:val="24"/>
        </w:rPr>
        <w:t xml:space="preserve">индексов </w:t>
      </w:r>
      <w:r>
        <w:rPr>
          <w:rFonts w:ascii="Arial" w:cs="Arial" w:eastAsia="Arial" w:hAnsi="Arial"/>
          <w:sz w:val="24"/>
          <w:szCs w:val="24"/>
        </w:rPr>
        <w:t xml:space="preserve">изменения сметной стоимости строительства на территории Кыргызской Республики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Заведующему отделом анализа, ценообразования и внешних связей Г. Э. Асановой: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принять меры по официальному опубликованию </w:t>
      </w:r>
      <w:r>
        <w:rPr>
          <w:rFonts w:ascii="Arial" w:cs="Arial" w:eastAsia="Arial" w:hAnsi="Arial"/>
          <w:sz w:val="24"/>
          <w:szCs w:val="24"/>
        </w:rPr>
        <w:t xml:space="preserve">настоящего </w:t>
      </w:r>
      <w:hyperlink w:history="1" r:id="rIdout9rexgsx5ciapzfy9-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в соответствии с </w:t>
      </w:r>
      <w:hyperlink w:history="1" r:id="rId5vcsglafsfza4utp4-x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источниках официального опубликования нормативных правовых актов Кыргызской Республики" от 26 февраля 2010 года № 117;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в течение трех рабочих дней со дня официального опубликования направить копии настоящего приказа в двух экземплярах, на государственном и официальном языках, на бумажном и электронном носителях, с указанием информации об источнике его опубликования указанного нормативного правового акта,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в течение трех рабочих дней со дня вступления в силу настоящего приказа направить копии в Администрацию Президента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Сатышов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pdtmq9egupgffaftvw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dalil.kg/document/200656</w:t>
      </w:r>
    </w:hyperlink>
  </w:p>
  <w:p>
    <w:pPr>
      <w:spacing w:after="0" w:before="40"/>
      <w:jc w:val="center"/>
    </w:pPr>
    <w:hyperlink w:history="1" r:id="rIdbn62wfib9u5sxk1bly_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tkcdiubeuely9wdss6wq" Type="http://schemas.openxmlformats.org/officeDocument/2006/relationships/hyperlink" Target="https://dalil.kg/document/230040030" TargetMode="External"/><Relationship Id="rIdyt35jhl1n4kwf6zhp_yg1" Type="http://schemas.openxmlformats.org/officeDocument/2006/relationships/hyperlink" Target="https://dalil.kg/document/96978" TargetMode="External"/><Relationship Id="rIdosn-rg2gle1ay0ztc1ox_" Type="http://schemas.openxmlformats.org/officeDocument/2006/relationships/hyperlink" Target="https://dalil.kg/document/200657" TargetMode="External"/><Relationship Id="rIdout9rexgsx5ciapzfy9-9" Type="http://schemas.openxmlformats.org/officeDocument/2006/relationships/hyperlink" Target="https://dalil.kg/document/200656" TargetMode="External"/><Relationship Id="rId5vcsglafsfza4utp4-xqx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pdtmq9egupgffaftvwjk" Type="http://schemas.openxmlformats.org/officeDocument/2006/relationships/hyperlink" Target="https://dalil.kg/document/200656" TargetMode="External"/><Relationship Id="rIdbn62wfib9u5sxk1bly_z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2026-09-25T09:46:37.746Z</dcterms:created>
  <dcterms:modified xsi:type="dcterms:W3CDTF">2026-09-25T09:46:37.746Z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