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0"/>
          <w:szCs w:val="20"/>
        </w:rPr>
        <w:t xml:space="preserve">Приложение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Административный регламент государственной услуги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«Государственная регистрация прав на недвижимое имущество, на основании договора отчуждения недвижимого имущества, не требующего обязательного нотариального удостоверения»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(глава 4, пункт 82-1 </w:t>
      </w:r>
      <w:r>
        <w:rPr>
          <w:rFonts w:ascii="Arial" w:cs="Arial" w:eastAsia="Arial" w:hAnsi="Arial"/>
          <w:sz w:val="20"/>
          <w:szCs w:val="20"/>
        </w:rPr>
        <w:t xml:space="preserve">Единого реестра (перечня) государственных услуг, оказываемых государственными органами, их структурными подразделениями и подведомственными учреждениями, утвержденного </w:t>
      </w:r>
      <w:hyperlink w:history="1" r:id="rId5fqsemds9usxbnq6wohc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10.02.2012 года № 85)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1. Общие положения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1.</w:t>
      </w:r>
      <w:r>
        <w:rPr>
          <w:rFonts w:ascii="Arial" w:cs="Arial" w:eastAsia="Arial" w:hAnsi="Arial"/>
          <w:sz w:val="20"/>
          <w:szCs w:val="20"/>
        </w:rPr>
        <w:t xml:space="preserve">Предоставление данной государственной услуги осуществляется </w:t>
      </w:r>
      <w:r>
        <w:rPr>
          <w:rFonts w:ascii="Arial" w:cs="Arial" w:eastAsia="Arial" w:hAnsi="Arial"/>
          <w:sz w:val="20"/>
          <w:szCs w:val="20"/>
        </w:rPr>
        <w:t xml:space="preserve">филиалами Государственного учреждения «Кадастр» при Службе земельных ресурсов при Министерстве сельского хозяйства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2.</w:t>
      </w:r>
      <w:r>
        <w:rPr>
          <w:rFonts w:ascii="Arial" w:cs="Arial" w:eastAsia="Arial" w:hAnsi="Arial"/>
          <w:sz w:val="20"/>
          <w:szCs w:val="20"/>
        </w:rPr>
        <w:t xml:space="preserve">Административный регламент данной услуги соответствует требованиям соответствующего стандарта услуги, утвержденного </w:t>
      </w:r>
      <w:hyperlink w:history="1" r:id="rIdb6slkj6oo2zbuji8ltz1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</w:t>
      </w:r>
      <w:r>
        <w:rPr>
          <w:rFonts w:ascii="Arial" w:cs="Arial" w:eastAsia="Arial" w:hAnsi="Arial"/>
          <w:sz w:val="20"/>
          <w:szCs w:val="20"/>
        </w:rPr>
        <w:t xml:space="preserve">3 июня 2014 года № 303</w:t>
      </w:r>
      <w:r>
        <w:rPr>
          <w:rFonts w:ascii="Arial" w:cs="Arial" w:eastAsia="Arial" w:hAnsi="Arial"/>
          <w:sz w:val="20"/>
          <w:szCs w:val="20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3.</w:t>
      </w:r>
      <w:r>
        <w:rPr>
          <w:rFonts w:ascii="Arial" w:cs="Arial" w:eastAsia="Arial" w:hAnsi="Arial"/>
          <w:sz w:val="20"/>
          <w:szCs w:val="20"/>
        </w:rPr>
        <w:t xml:space="preserve">Ключевые параметры, заданные стандартом услуги: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(1)</w:t>
      </w:r>
      <w:r>
        <w:rPr>
          <w:rFonts w:ascii="Arial" w:cs="Arial" w:eastAsia="Arial" w:hAnsi="Arial"/>
          <w:sz w:val="20"/>
          <w:szCs w:val="20"/>
        </w:rPr>
        <w:t xml:space="preserve">Общий срок предоставления услуги – 3 часа для физических лиц, 6 часов для юридических лиц.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Время приема документов – в течение 30 минут.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Время на выдачу результата услуги – в течение 15 минут.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(2)</w:t>
      </w:r>
      <w:r>
        <w:rPr>
          <w:rFonts w:ascii="Arial" w:cs="Arial" w:eastAsia="Arial" w:hAnsi="Arial"/>
          <w:sz w:val="20"/>
          <w:szCs w:val="20"/>
        </w:rPr>
        <w:t xml:space="preserve">Перечень документов, необходимых для получения услуги: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всех заявителей: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 установленной формы;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документ, удостоверяющий личность: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если за услугой обратился полномочный представитель физического лица, необходимо предоставить документ, подтверждающий полномочия представителя физического лица на осуществление государственной регистрации, для юридического лица: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документ, подтверждающий полномочия его представителя; если представителем юридического лица выступает его руководитель, предоставляется заверенный печатью юридического лица протокол о его избрании или приказ о его назначении для внесения сведений об изменении правообладателя; подлинник и копия свидетельства о регистрации юридического лица и учредительные документы юридического лица.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- правоустанавливающий документ на единицу недвижимого имущества;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- документ, содержащий технические характеристики единицы недвижимого имущества (техпаспорт) при наличии.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- документ об оплате (оплата заявителем производится после проверки специалистом государственного органа соответствия представленных документов установленным требованиям и предоставления заявителю документа на оплату работ по государственной регистрации).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(3) </w:t>
      </w:r>
      <w:r>
        <w:rPr>
          <w:rFonts w:ascii="Arial" w:cs="Arial" w:eastAsia="Arial" w:hAnsi="Arial"/>
          <w:sz w:val="20"/>
          <w:szCs w:val="20"/>
        </w:rPr>
        <w:t xml:space="preserve">Стоимость услуги: Государственная услуга предоставляется на платной основе. Стоимость государственной услуги (Прейскурант) утверждается приказом Министерства сельского хозяйства Кыргызской Республики (далее – МСХ КР) по согласованию с уполномоченным государственным органом в сфере антимонопольного регулирования</w:t>
      </w:r>
      <w:r>
        <w:rPr>
          <w:rFonts w:ascii="Arial" w:cs="Arial" w:eastAsia="Arial" w:hAnsi="Arial"/>
          <w:sz w:val="20"/>
          <w:szCs w:val="20"/>
        </w:rPr>
        <w:t xml:space="preserve">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(4) Результат услуги: Выдача заявителю документа о зарегистрированном праве (выписка из Единой информационной системы недвижимости)/совершение удостоверительной надписи на документе, представленном на регистрацию.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2. Перечень процедур, выполняемых в процессе предоставления услуги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4. Производство услуги включает следующий набор процедур</w:t>
      </w:r>
    </w:p>
    <w:p>
      <w:pPr>
        <w:spacing w:after="120"/>
        <w:ind w:firstLine="709"/>
        <w:jc w:val="right"/>
      </w:pPr>
      <w:r>
        <w:rPr>
          <w:rFonts w:ascii="Arial" w:cs="Arial" w:eastAsia="Arial" w:hAnsi="Arial"/>
          <w:sz w:val="20"/>
          <w:szCs w:val="20"/>
        </w:rPr>
        <w:t xml:space="preserve">Таблица 1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31"/>
        <w:gridCol w:w="6265"/>
        <w:gridCol w:w="3282"/>
      </w:tblGrid>
      <w:tr>
        <w:tc>
          <w:tcPr>
            <w:tcW w:type="dxa" w:w="6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</w:t>
            </w:r>
          </w:p>
        </w:tc>
        <w:tc>
          <w:tcPr>
            <w:tcW w:type="dxa" w:w="62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Название процедуры</w:t>
            </w:r>
          </w:p>
        </w:tc>
        <w:tc>
          <w:tcPr>
            <w:tcW w:type="dxa" w:w="32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Примечание</w:t>
            </w:r>
          </w:p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</w:t>
            </w:r>
          </w:p>
        </w:tc>
        <w:tc>
          <w:tcPr>
            <w:tcW w:type="dxa" w:w="6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Прием заявления и документов</w:t>
            </w:r>
          </w:p>
        </w:tc>
        <w:tc>
          <w:tcPr>
            <w:tcW w:type="dxa" w:w="3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2.</w:t>
            </w:r>
          </w:p>
        </w:tc>
        <w:tc>
          <w:tcPr>
            <w:tcW w:type="dxa" w:w="6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Регистрация предоставленного сторонами сделки договора или регистрация составленного регистратором договора</w:t>
            </w:r>
          </w:p>
        </w:tc>
        <w:tc>
          <w:tcPr>
            <w:tcW w:type="dxa" w:w="3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</w:t>
            </w:r>
          </w:p>
        </w:tc>
        <w:tc>
          <w:tcPr>
            <w:tcW w:type="dxa" w:w="6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Выдача предоставленных к регистрации документов</w:t>
            </w:r>
          </w:p>
        </w:tc>
        <w:tc>
          <w:tcPr>
            <w:tcW w:type="dxa" w:w="3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3. Блок – схема взаимосвязи процедур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5. Логический порядок процедур, выполняемых при производстве услуги, изображен на блок-схеме ниже.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4. Описание процедур и их характеристики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right"/>
      </w:pPr>
      <w:r>
        <w:rPr>
          <w:rFonts w:ascii="Arial" w:cs="Arial" w:eastAsia="Arial" w:hAnsi="Arial"/>
          <w:sz w:val="20"/>
          <w:szCs w:val="20"/>
        </w:rPr>
        <w:t xml:space="preserve">Таблица 2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361"/>
        <w:gridCol w:w="1228"/>
        <w:gridCol w:w="520"/>
        <w:gridCol w:w="520"/>
        <w:gridCol w:w="1454"/>
        <w:gridCol w:w="1454"/>
        <w:gridCol w:w="1321"/>
        <w:gridCol w:w="1321"/>
      </w:tblGrid>
      <w:tr>
        <w:tc>
          <w:tcPr>
            <w:tcW w:type="dxa" w:w="236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Название процедуры и действий</w:t>
            </w:r>
          </w:p>
        </w:tc>
        <w:tc>
          <w:tcPr>
            <w:tcW w:type="dxa" w:w="12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Исполнитель,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должностное лицо</w:t>
            </w:r>
          </w:p>
        </w:tc>
        <w:tc>
          <w:tcPr>
            <w:tcW w:type="dxa" w:w="104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Продолжительность действий</w:t>
            </w:r>
          </w:p>
        </w:tc>
        <w:tc>
          <w:tcPr>
            <w:tcW w:type="dxa" w:w="290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Результат действий</w:t>
            </w:r>
          </w:p>
        </w:tc>
        <w:tc>
          <w:tcPr>
            <w:tcW w:type="dxa" w:w="264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Документ, регулирующий действие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104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29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26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</w:tr>
      <w:tr>
        <w:tc>
          <w:tcPr>
            <w:tcW w:type="dxa" w:w="10179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Процедура 1. Прием заявки и предварительное рассмотрение документов на проведение обследования</w:t>
            </w:r>
          </w:p>
        </w:tc>
      </w:tr>
      <w:tr>
        <w:tc>
          <w:tcPr>
            <w:tcW w:type="dxa" w:w="23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Действие 1.1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Прием заявления и документов</w:t>
            </w:r>
          </w:p>
        </w:tc>
        <w:tc>
          <w:tcPr>
            <w:tcW w:type="dxa" w:w="122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Регистратор </w:t>
            </w:r>
          </w:p>
        </w:tc>
        <w:tc>
          <w:tcPr>
            <w:tcW w:type="dxa" w:w="1040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 более 1 часа</w:t>
            </w:r>
          </w:p>
        </w:tc>
        <w:tc>
          <w:tcPr>
            <w:tcW w:type="dxa" w:w="2908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А) - прием заявления и документов, регистрация в соответствующем журнале;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выдача заявителю расписки о приеме заявления и документов;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Б) -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отказ в приеме документов или в регистрации права на недвижимое имущество.</w:t>
            </w:r>
          </w:p>
        </w:tc>
        <w:tc>
          <w:tcPr>
            <w:tcW w:type="dxa" w:w="2642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Закон КР «О государственной регистрации прав на недвижимое имущество и сделок с ним»;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Правила государственной регистрации прав и обременений (ограничений) прав на недвижимое имущество и сделок с ним, утвержденные постановлением Правительства Кыргызской Республики от 15 февраля 2011 года № 49</w:t>
            </w:r>
          </w:p>
        </w:tc>
      </w:tr>
      <w:tr>
        <w:tc>
          <w:tcPr>
            <w:tcW w:type="dxa" w:w="23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Действие 1.2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Установление личностей сторон сделки, в том числе правоспособность и дееспособность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3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Действие 1.3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Изучение предоставленных документов на требование законодательству, изучение архивных документов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3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Действие 1.4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Выписка и принятие документа об оплате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Регистратор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Получение квитанции об оплате 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9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Результат процедуры 1: Прием и регистрация заявления и документов</w:t>
            </w:r>
          </w:p>
        </w:tc>
      </w:tr>
      <w:tr>
        <w:tc>
          <w:tcPr>
            <w:tcW w:type="dxa" w:w="10179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Продолжительность процедуры 1: не более 1 часа</w:t>
            </w:r>
          </w:p>
        </w:tc>
      </w:tr>
      <w:tr>
        <w:tc>
          <w:tcPr>
            <w:tcW w:type="dxa" w:w="10179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Тип процедуры 1: административная процедура</w:t>
            </w:r>
          </w:p>
        </w:tc>
      </w:tr>
      <w:tr>
        <w:tc>
          <w:tcPr>
            <w:tcW w:type="dxa" w:w="10179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Процедура 2. Регистрация предоставленного сторонами договора или регистрация составленного регистратором договора</w:t>
            </w:r>
          </w:p>
        </w:tc>
      </w:tr>
      <w:tr>
        <w:tc>
          <w:tcPr>
            <w:tcW w:type="dxa" w:w="23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Действие 2.1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Составление договора об отчуждении недвижимого имущества/доработка договора об отчуждении недвижимого имущества, представленного сторонами и его подписание</w:t>
            </w:r>
          </w:p>
        </w:tc>
        <w:tc>
          <w:tcPr>
            <w:tcW w:type="dxa" w:w="1748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Регистратор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4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 часа физ.лица, 6 часов юр. лица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75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Правоустанавливающий документ с удостоверительной надписью о регистрации с внесением  записи в Автоматизированную систему регистрации</w:t>
            </w:r>
          </w:p>
        </w:tc>
        <w:tc>
          <w:tcPr>
            <w:tcW w:type="dxa" w:w="132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Закон КР «О государственной регистрации прав на недвижимое имущество и сделок с ним»;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Правила государственной регистрации прав и обременений (ограничений) прав на недвижимое имущество и сделок с ним, утвержденные постановлением Правительства Кыргызской Республики от 15 февраля 2011 года № 49</w:t>
            </w:r>
          </w:p>
        </w:tc>
      </w:tr>
      <w:tr>
        <w:tc>
          <w:tcPr>
            <w:tcW w:type="dxa" w:w="23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Действие 2.2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Регистрация договора об отчуждении недвижимого имущества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3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Действие 2.3.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Заполнение правоудостоверяющих документов с внесением записи о новом владельце 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9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Результат процедуры 2: Заполнение правоудостоверяющих документов с внесением записи о новом владельце</w:t>
            </w:r>
          </w:p>
        </w:tc>
      </w:tr>
      <w:tr>
        <w:tc>
          <w:tcPr>
            <w:tcW w:type="dxa" w:w="10179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Продолжительность процедуры 2: не более 3 часов</w:t>
            </w:r>
          </w:p>
        </w:tc>
      </w:tr>
      <w:tr>
        <w:tc>
          <w:tcPr>
            <w:tcW w:type="dxa" w:w="10179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Тип процедуры 2: административная процедура</w:t>
            </w:r>
          </w:p>
        </w:tc>
      </w:tr>
      <w:tr>
        <w:tc>
          <w:tcPr>
            <w:tcW w:type="dxa" w:w="10179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Процедура 3. Выдача предоставленных к регистрации документов</w:t>
            </w:r>
          </w:p>
        </w:tc>
      </w:tr>
      <w:tr>
        <w:tc>
          <w:tcPr>
            <w:tcW w:type="dxa" w:w="23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Действие 3.1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Выдача документов, предоставленных к регистрации</w:t>
            </w:r>
          </w:p>
        </w:tc>
        <w:tc>
          <w:tcPr>
            <w:tcW w:type="dxa" w:w="17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Регистратор</w:t>
            </w:r>
          </w:p>
        </w:tc>
        <w:tc>
          <w:tcPr>
            <w:tcW w:type="dxa" w:w="19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 более 30 мин.</w:t>
            </w:r>
          </w:p>
        </w:tc>
        <w:tc>
          <w:tcPr>
            <w:tcW w:type="dxa" w:w="277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выдача подлинников правоустанавливающих документов с удостоверительной надписью на основе расписки</w:t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Правила государственной регистрации прав и обременений (ограничений) прав на недвижимое имущество и сделок с ним, утвержденные постановлением Правительства Кыргызской Республики от 15.02.2011 г. № 49</w:t>
            </w:r>
          </w:p>
        </w:tc>
      </w:tr>
      <w:tr>
        <w:tc>
          <w:tcPr>
            <w:tcW w:type="dxa" w:w="10179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Результат процедуры 3: выдача подлинников правоустанавливающих документов с удостоверительной надписью на основе расписки</w:t>
            </w:r>
          </w:p>
        </w:tc>
      </w:tr>
      <w:tr>
        <w:tc>
          <w:tcPr>
            <w:tcW w:type="dxa" w:w="10179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Продолжительность процедуры 3: не более 30 мин.</w:t>
            </w:r>
          </w:p>
        </w:tc>
      </w:tr>
      <w:tr>
        <w:tc>
          <w:tcPr>
            <w:tcW w:type="dxa" w:w="10179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Тип процедуры 3: административная процедура</w:t>
            </w:r>
          </w:p>
        </w:tc>
      </w:tr>
      <w:tr>
        <w:tc>
          <w:tcPr>
            <w:tcW w:type="dxa" w:w="236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5. Схемы (алгоритмы) выполнения процедур 1,2,3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6. Контроль исполнения требований административного регламента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6. За исполнением требований административного регламента проводится внутренний (текущий) и внешний контроль.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1) Внутренний контроль проводят руководители филиалов Государственного учреждения «Кадастр» при Службе земельных ресурсов при Министерстве сельского хозяйства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2) Внутренний контроль осуществляется путем проведения регулярных проверок соблюдения и исполнения должностными лицами и сотрудниками положений административного регламента, а также принятых в процессе предоставления услуги решений.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3) Периодичность проведения проверок составляет не реже одного раза в квартал.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Внеплановые проверки проводятся по заявлению потребителей услуги.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4) По результатам проведения проверок принимаются меры по устранению выявленных нарушений требований административного регламента услуги, а также рассматривается вопрос об ответственности виновных лиц в соответствии с Трудовым Кодексом Кыргызской Республики, Законом Кыргызской Республики «О государственной гражданской службе и муниципальной службе».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7. Внешний контроль за исполнением требований административного регламента услуги осуществляется комиссией, образуемой решением Министерства сельского хозяйства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1) Результаты работы комиссии оформляются в виде справки, в которую могут быть внесены предложения по изменению административного регламента.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2) В течение 3 рабочих дней с момента подписания справки, она направляется в учреждение, предоставляющее данную услугу.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В месячный срок с даты поступления справки должны быть приняты меры по устранению выявленных нарушений и недостатков, меры дисциплинарного и административного в отношении должностных лиц и сотрудников, допустивших данные нарушения.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необходимости, также в установленном порядке инициируется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внесение изменений в административный регламент.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3) Внешний контроль за исполнением требований административного регламента проводится не реже одного раза в год.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7. Ответственность должностных лиц за нарушение требований административного регламента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8. За нарушение требований административного регламента должностные лица и сотрудники Службы земельных ресурсов при Министерстве сельского хозяйства Кыргызской Республики несут ответственность в соответствии с законодательством о правонарушениях и трудовым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9. В случае передачи услуги или ее части в аутсорсинг на исполнение частным физическим и/или юридическим лицам, ответственность за соблюдением требований административного регламента предоставления услуги сохраняется за учреждением, ответственным за предоставление данной услуги.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8. Заключительные положения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10. Административный регламент подлежит пересмотру одновременно с пересмотром Стандарта услуги и по мере необходимости.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9. Разработчики административного регламента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1. Кожомкулов Т.Б. – главный специалист УРНИиИТ Службы земельных ресурсов при Министерстве сельского хозяйства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ftm_7wefzjwgdcabdqc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dalil.kg/document/200667</w:t>
      </w:r>
    </w:hyperlink>
  </w:p>
  <w:p>
    <w:pPr>
      <w:spacing w:after="0" w:before="40"/>
      <w:jc w:val="center"/>
    </w:pPr>
    <w:hyperlink w:history="1" r:id="rId4dbclaf_6hur1upylrqa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fqsemds9usxbnq6wohcj" Type="http://schemas.openxmlformats.org/officeDocument/2006/relationships/hyperlink" Target="https://dalil.kg/document/93449" TargetMode="External"/><Relationship Id="rIdb6slkj6oo2zbuji8ltz1j" Type="http://schemas.openxmlformats.org/officeDocument/2006/relationships/hyperlink" Target="https://dalil.kg/document/965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ftm_7wefzjwgdcabdqcu" Type="http://schemas.openxmlformats.org/officeDocument/2006/relationships/hyperlink" Target="https://dalil.kg/document/200667" TargetMode="External"/><Relationship Id="rId4dbclaf_6hur1upylrqa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2026-09-29T09:32:41.794Z</dcterms:created>
  <dcterms:modified xsi:type="dcterms:W3CDTF">2026-09-29T09:32:41.794Z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