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1422"/>
        <w:jc w:val="right"/>
      </w:pPr>
      <w:r>
        <w:rPr>
          <w:rFonts w:ascii="Arial" w:cs="Arial" w:eastAsia="Arial" w:hAnsi="Arial"/>
          <w:sz w:val="24"/>
          <w:szCs w:val="24"/>
        </w:rPr>
        <w:t xml:space="preserve">Приказом № 300 от «24» декабря 2021 г.</w:t>
      </w:r>
    </w:p>
    <w:p>
      <w:pPr>
        <w:spacing w:after="120"/>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Выполнение тематических подборок научно-технической информации</w:t>
      </w:r>
    </w:p>
    <w:p>
      <w:pPr>
        <w:spacing w:after="240" w:before="200"/>
        <w:jc w:val="center"/>
      </w:pPr>
      <w:r>
        <w:rPr>
          <w:rFonts w:ascii="Arial" w:cs="Arial" w:eastAsia="Arial" w:hAnsi="Arial"/>
          <w:b/>
          <w:bCs/>
          <w:sz w:val="32"/>
          <w:szCs w:val="32"/>
        </w:rPr>
        <w:t xml:space="preserve">пункт 12 глава 6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w:t>
      </w:r>
      <w:r>
        <w:rPr>
          <w:rFonts w:ascii="Arial" w:cs="Arial" w:eastAsia="Arial" w:hAnsi="Arial"/>
          <w:sz w:val="24"/>
          <w:szCs w:val="24"/>
        </w:rPr>
        <w:t xml:space="preserve">ы</w:t>
      </w:r>
      <w:r>
        <w:rPr>
          <w:rFonts w:ascii="Arial" w:cs="Arial" w:eastAsia="Arial" w:hAnsi="Arial"/>
          <w:sz w:val="24"/>
          <w:szCs w:val="24"/>
        </w:rPr>
        <w:t xml:space="preserve">м учреждени</w:t>
      </w:r>
      <w:r>
        <w:rPr>
          <w:rFonts w:ascii="Arial" w:cs="Arial" w:eastAsia="Arial" w:hAnsi="Arial"/>
          <w:sz w:val="24"/>
          <w:szCs w:val="24"/>
        </w:rPr>
        <w:t xml:space="preserve">ем</w:t>
      </w:r>
      <w:r>
        <w:rPr>
          <w:rFonts w:ascii="Arial" w:cs="Arial" w:eastAsia="Arial" w:hAnsi="Arial"/>
          <w:sz w:val="24"/>
          <w:szCs w:val="24"/>
        </w:rPr>
        <w:t xml:space="preserve"> “Инновационный центр (далее - Г</w:t>
      </w:r>
      <w:r>
        <w:rPr>
          <w:rFonts w:ascii="Arial" w:cs="Arial" w:eastAsia="Arial" w:hAnsi="Arial"/>
          <w:sz w:val="24"/>
          <w:szCs w:val="24"/>
        </w:rPr>
        <w:t xml:space="preserve">УИЦ</w:t>
      </w:r>
      <w:r>
        <w:rPr>
          <w:rFonts w:ascii="Arial" w:cs="Arial" w:eastAsia="Arial" w:hAnsi="Arial"/>
          <w:sz w:val="24"/>
          <w:szCs w:val="24"/>
        </w:rPr>
        <w:t xml:space="preserve">)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6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ind w:firstLine="567"/>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 до 2-х часов.</w:t>
      </w:r>
    </w:p>
    <w:p>
      <w:pPr>
        <w:spacing w:after="120"/>
        <w:ind w:firstLine="567"/>
        <w:jc w:val="both"/>
      </w:pPr>
      <w:r>
        <w:rPr>
          <w:rFonts w:ascii="Arial" w:cs="Arial" w:eastAsia="Arial" w:hAnsi="Arial"/>
          <w:sz w:val="24"/>
          <w:szCs w:val="24"/>
        </w:rPr>
        <w:t xml:space="preserve">Выдача результата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ind w:firstLine="567"/>
        <w:jc w:val="both"/>
      </w:pPr>
      <w:r>
        <w:rPr>
          <w:rFonts w:ascii="Arial" w:cs="Arial" w:eastAsia="Arial" w:hAnsi="Arial"/>
          <w:sz w:val="24"/>
          <w:szCs w:val="24"/>
        </w:rPr>
        <w:t xml:space="preserve">б) документ удостоверяющий личность (паспорт, свидетельство о рождении, читательский билет) при личном обращении; </w:t>
      </w:r>
    </w:p>
    <w:p>
      <w:pPr>
        <w:spacing w:after="120"/>
        <w:ind w:firstLine="567"/>
        <w:jc w:val="both"/>
      </w:pPr>
      <w:r>
        <w:rPr>
          <w:rFonts w:ascii="Arial" w:cs="Arial" w:eastAsia="Arial" w:hAnsi="Arial"/>
          <w:sz w:val="24"/>
          <w:szCs w:val="24"/>
        </w:rPr>
        <w:t xml:space="preserve">в) квитанция об оплате или поступлении денежных средств.</w:t>
      </w:r>
    </w:p>
    <w:p>
      <w:pPr>
        <w:spacing w:after="120"/>
        <w:ind w:firstLine="567"/>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w:t>
      </w:r>
    </w:p>
    <w:p>
      <w:pPr>
        <w:spacing w:after="120"/>
        <w:ind w:firstLine="567"/>
        <w:jc w:val="both"/>
      </w:pPr>
      <w:r>
        <w:rPr>
          <w:rFonts w:ascii="Arial" w:cs="Arial" w:eastAsia="Arial" w:hAnsi="Arial"/>
          <w:sz w:val="24"/>
          <w:szCs w:val="24"/>
        </w:rPr>
        <w:t xml:space="preserve">Результат услуги: Тематическая подборка научно-технической информации</w:t>
      </w:r>
    </w:p>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ind w:firstLine="708"/>
        <w:jc w:val="center"/>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6157"/>
        <w:gridCol w:w="3478"/>
      </w:tblGrid>
      <w:tr>
        <w:tc>
          <w:tcPr>
            <w:tcW w:type="dxa" w:w="544"/>
            <w:tcBorders>
              <w:top w:val="single" w:color="CBBF9E" w:sz="4"/>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w:t>
            </w:r>
          </w:p>
        </w:tc>
        <w:tc>
          <w:tcPr>
            <w:tcW w:type="dxa" w:w="61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  </w:t>
            </w:r>
          </w:p>
        </w:tc>
        <w:tc>
          <w:tcPr>
            <w:tcW w:type="dxa" w:w="34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через ГПЭУ;</w:t>
            </w:r>
          </w:p>
          <w:p>
            <w:pPr>
              <w:jc w:val="both"/>
            </w:pPr>
            <w:r>
              <w:rPr>
                <w:rFonts w:ascii="Arial" w:cs="Arial" w:eastAsia="Arial" w:hAnsi="Arial"/>
                <w:sz w:val="24"/>
                <w:szCs w:val="24"/>
              </w:rPr>
              <w:t xml:space="preserve">- любыми не запрещенными законодательством КР платежными способами </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 научно-технической информации по теме подборки</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4. </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тематической подборки научно-технической информации </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bl>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Описание процедур и их характеристики</w:t>
      </w:r>
    </w:p>
    <w:p>
      <w:pPr>
        <w:spacing w:after="120"/>
        <w:jc w:val="right"/>
      </w:pPr>
      <w:r>
        <w:rPr>
          <w:rFonts w:ascii="Arial" w:cs="Arial" w:eastAsia="Arial" w:hAnsi="Arial"/>
          <w:sz w:val="24"/>
          <w:szCs w:val="24"/>
        </w:rPr>
        <w:t xml:space="preserve">                                                                                                                                                                                                                                 Таблица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2"/>
        <w:gridCol w:w="1497"/>
        <w:gridCol w:w="1497"/>
        <w:gridCol w:w="2526"/>
        <w:gridCol w:w="1965"/>
      </w:tblGrid>
      <w:tr>
        <w:tc>
          <w:tcPr>
            <w:tcW w:type="dxa" w:w="26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4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4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9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26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регистрация заявления</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4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p>
            <w:pPr>
              <w:jc w:val="both"/>
            </w:pPr>
            <w:r>
              <w:rPr>
                <w:rFonts w:ascii="Arial" w:cs="Arial" w:eastAsia="Arial" w:hAnsi="Arial"/>
                <w:sz w:val="24"/>
                <w:szCs w:val="24"/>
              </w:rPr>
              <w:t xml:space="preserve"/>
            </w:r>
          </w:p>
        </w:tc>
        <w:tc>
          <w:tcPr>
            <w:tcW w:type="dxa" w:w="1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w:t>
            </w:r>
            <w:r>
              <w:rPr>
                <w:rFonts w:ascii="Arial" w:cs="Arial" w:eastAsia="Arial" w:hAnsi="Arial"/>
                <w:sz w:val="24"/>
                <w:szCs w:val="24"/>
              </w:rPr>
              <w:t xml:space="preserve">входящих документов</w:t>
            </w:r>
            <w:r>
              <w:rPr>
                <w:rFonts w:ascii="Arial" w:cs="Arial" w:eastAsia="Arial" w:hAnsi="Arial"/>
                <w:sz w:val="24"/>
                <w:szCs w:val="24"/>
              </w:rPr>
              <w:t xml:space="preserve"> 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p>
            <w:pPr>
              <w:jc w:val="both"/>
            </w:pPr>
            <w:r>
              <w:rPr>
                <w:rFonts w:ascii="Arial" w:cs="Arial" w:eastAsia="Arial" w:hAnsi="Arial"/>
                <w:sz w:val="24"/>
                <w:szCs w:val="24"/>
              </w:rPr>
              <w:t xml:space="preserve">Выписать читательский билет и внести информацию о заявителе в базу данных читателей</w:t>
            </w:r>
          </w:p>
        </w:tc>
        <w:tc>
          <w:tcPr>
            <w:vMerge w:val="continue"/>
            <w:tcBorders>
              <w:top w:val="none" w:color="auto" w:sz="0"/>
              <w:left w:val="none" w:color="auto" w:sz="0"/>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 минут</w:t>
            </w:r>
          </w:p>
        </w:tc>
        <w:tc>
          <w:tcPr>
            <w:vMerge w:val="continue"/>
            <w:tcBorders>
              <w:top w:val="none" w:color="auto" w:sz="0"/>
              <w:left w:val="none" w:color="auto" w:sz="0"/>
              <w:bottom w:val="single" w:color="CBBF9E" w:sz="4"/>
              <w:right w:val="single" w:color="CBBF9E" w:sz="4"/>
            </w:tcBorders>
          </w:tcP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w:t>
            </w:r>
          </w:p>
        </w:tc>
      </w:tr>
      <w:tr>
        <w:tc>
          <w:tcPr>
            <w:tcW w:type="dxa" w:w="2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приеме заявления к рассмотрению тем же способом, каким было получено заявление</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r>
              <w:rPr>
                <w:rFonts w:ascii="Arial" w:cs="Arial" w:eastAsia="Arial" w:hAnsi="Arial"/>
                <w:sz w:val="24"/>
                <w:szCs w:val="24"/>
              </w:rPr>
              <w:t xml:space="preserve">;</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w:t>
            </w:r>
          </w:p>
        </w:tc>
        <w:tc>
          <w:tcPr>
            <w:vMerge w:val="continue"/>
            <w:tcBorders>
              <w:top w:val="none" w:color="auto" w:sz="0"/>
              <w:left w:val="none" w:color="auto" w:sz="0"/>
              <w:bottom w:val="single" w:color="CBBF9E" w:sz="4"/>
              <w:right w:val="single" w:color="CBBF9E" w:sz="4"/>
            </w:tcBorders>
          </w:tcP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приеме заявления к рассмотрению </w:t>
            </w:r>
          </w:p>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w:t>
            </w:r>
          </w:p>
          <w:p>
            <w:pPr>
              <w:jc w:val="both"/>
            </w:pPr>
            <w:r>
              <w:rPr>
                <w:rFonts w:ascii="Arial" w:cs="Arial" w:eastAsia="Arial" w:hAnsi="Arial"/>
                <w:sz w:val="24"/>
                <w:szCs w:val="24"/>
              </w:rPr>
              <w:t xml:space="preserve"> - регистрация заявления в журнале входящих документов;</w:t>
            </w:r>
          </w:p>
          <w:p>
            <w:pPr>
              <w:jc w:val="both"/>
            </w:pPr>
            <w:r>
              <w:rPr>
                <w:rFonts w:ascii="Arial" w:cs="Arial" w:eastAsia="Arial" w:hAnsi="Arial"/>
                <w:sz w:val="24"/>
                <w:szCs w:val="24"/>
              </w:rPr>
              <w:t xml:space="preserve">- уведомление о приеме заявления к рассмотрению</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–20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Прием и оформление оплаты </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Проверка поступления денежных средств, запись в журнале платных услуг.</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p>
            <w:pPr>
              <w:jc w:val="left"/>
            </w:pPr>
            <w:r>
              <w:rPr>
                <w:rFonts w:ascii="Arial" w:cs="Arial" w:eastAsia="Arial" w:hAnsi="Arial"/>
                <w:sz w:val="24"/>
                <w:szCs w:val="24"/>
              </w:rPr>
              <w:t xml:space="preserve"/>
            </w:r>
          </w:p>
        </w:tc>
        <w:tc>
          <w:tcPr>
            <w:tcW w:type="dxa" w:w="2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w:t>
            </w:r>
            <w:r>
              <w:rPr>
                <w:rFonts w:ascii="Arial" w:cs="Arial" w:eastAsia="Arial" w:hAnsi="Arial"/>
                <w:sz w:val="24"/>
                <w:szCs w:val="24"/>
              </w:rPr>
              <w:t xml:space="preserve">ГУИЦ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1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документа об оплате, регистрация</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При отсутствии подтверждения документа об оплате в течение 3-х часов, потребителю направляется уведомление об отказе в предоставлении услуги.</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vMerge w:val="continue"/>
            <w:tcBorders>
              <w:top w:val="none" w:color="auto" w:sz="0"/>
              <w:left w:val="none" w:color="auto" w:sz="0"/>
              <w:bottom w:val="single" w:color="CBBF9E" w:sz="4"/>
              <w:right w:val="single" w:color="CBBF9E" w:sz="4"/>
            </w:tcBorders>
          </w:tcPr>
          <w:p/>
        </w:tc>
        <w:tc>
          <w:tcPr>
            <w:tcW w:type="dxa" w:w="1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об отказе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both"/>
            </w:pPr>
            <w:r>
              <w:rPr>
                <w:rFonts w:ascii="Arial" w:cs="Arial" w:eastAsia="Arial" w:hAnsi="Arial"/>
                <w:sz w:val="24"/>
                <w:szCs w:val="24"/>
              </w:rPr>
              <w:t xml:space="preserve">- документ об оплате, запись в журнале платных услуг;</w:t>
            </w:r>
          </w:p>
          <w:p>
            <w:pPr>
              <w:jc w:val="both"/>
            </w:pPr>
            <w:r>
              <w:rPr>
                <w:rFonts w:ascii="Arial" w:cs="Arial" w:eastAsia="Arial" w:hAnsi="Arial"/>
                <w:sz w:val="24"/>
                <w:szCs w:val="24"/>
              </w:rPr>
              <w:t xml:space="preserve">- отказ в предоставлении услуги, в связи с отсутствием документа об оплате.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25 минут</w:t>
            </w:r>
          </w:p>
          <w:p>
            <w:pPr>
              <w:jc w:val="left"/>
            </w:pPr>
            <w:r>
              <w:rPr>
                <w:rFonts w:ascii="Arial" w:cs="Arial" w:eastAsia="Arial" w:hAnsi="Arial"/>
                <w:sz w:val="24"/>
                <w:szCs w:val="24"/>
              </w:rPr>
              <w:t xml:space="preserve">При безналичной форме оплаты  продолжительность действия зависит от предоставления документа о перечислении денежных средств.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Поиск научно-технической информации по теме подборки</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Просмотреть справочно-поисковый аппарат (каталоги, картотеки) и оформить информацию по тематике запроса в соответствии с требованиями.</w:t>
            </w:r>
          </w:p>
        </w:tc>
        <w:tc>
          <w:tcPr>
            <w:tcW w:type="dxa" w:w="14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w:t>
            </w:r>
          </w:p>
        </w:tc>
        <w:tc>
          <w:tcPr>
            <w:tcW w:type="dxa" w:w="252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w:t>
            </w:r>
            <w:r>
              <w:rPr>
                <w:rFonts w:ascii="Arial" w:cs="Arial" w:eastAsia="Arial" w:hAnsi="Arial"/>
                <w:sz w:val="24"/>
                <w:szCs w:val="24"/>
              </w:rPr>
              <w:t xml:space="preserve">ГУИЦ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Оформленная информация по тематике запроса</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Осуществить поиск информации по нетрадиционным носителям информации (по желанию заявителя)</w:t>
            </w:r>
          </w:p>
        </w:tc>
        <w:tc>
          <w:tcPr>
            <w:vMerge w:val="continue"/>
            <w:tcBorders>
              <w:top w:val="none" w:color="auto" w:sz="0"/>
              <w:left w:val="none" w:color="auto" w:sz="0"/>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w:t>
            </w:r>
          </w:p>
        </w:tc>
        <w:tc>
          <w:tcPr>
            <w:vMerge w:val="continue"/>
            <w:tcBorders>
              <w:top w:val="none" w:color="auto" w:sz="0"/>
              <w:left w:val="none" w:color="auto" w:sz="0"/>
              <w:bottom w:val="single" w:color="CBBF9E" w:sz="4"/>
              <w:right w:val="single" w:color="CBBF9E" w:sz="4"/>
            </w:tcBorders>
          </w:tcP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из нетрадиционных носителей информации</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Составить список источников тематической подборки для внутреннего учета.</w:t>
            </w:r>
          </w:p>
          <w:p>
            <w:pPr>
              <w:jc w:val="left"/>
            </w:pPr>
            <w:r>
              <w:rPr>
                <w:rFonts w:ascii="Arial" w:cs="Arial" w:eastAsia="Arial" w:hAnsi="Arial"/>
                <w:sz w:val="24"/>
                <w:szCs w:val="24"/>
              </w:rPr>
              <w:t xml:space="preserve">Сделать учетные пометки в журнале статистического учета выданной литературы по разделу и количеству.</w:t>
            </w:r>
          </w:p>
        </w:tc>
        <w:tc>
          <w:tcPr>
            <w:vMerge w:val="continue"/>
            <w:tcBorders>
              <w:top w:val="none" w:color="auto" w:sz="0"/>
              <w:left w:val="none" w:color="auto" w:sz="0"/>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w:t>
            </w:r>
          </w:p>
        </w:tc>
        <w:tc>
          <w:tcPr>
            <w:vMerge w:val="continue"/>
            <w:tcBorders>
              <w:top w:val="none" w:color="auto" w:sz="0"/>
              <w:left w:val="none" w:color="auto" w:sz="0"/>
              <w:bottom w:val="single" w:color="CBBF9E" w:sz="4"/>
              <w:right w:val="single" w:color="CBBF9E" w:sz="4"/>
            </w:tcBorders>
          </w:tcP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тематическая подборка литературы</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Если документ не найден при поиске информации, то необходимо уведомить </w:t>
            </w:r>
            <w:r>
              <w:rPr>
                <w:rFonts w:ascii="Arial" w:cs="Arial" w:eastAsia="Arial" w:hAnsi="Arial"/>
                <w:sz w:val="24"/>
                <w:szCs w:val="24"/>
              </w:rPr>
              <w:t xml:space="preserve">потребителя</w:t>
            </w:r>
            <w:r>
              <w:rPr>
                <w:rFonts w:ascii="Arial" w:cs="Arial" w:eastAsia="Arial" w:hAnsi="Arial"/>
                <w:sz w:val="24"/>
                <w:szCs w:val="24"/>
              </w:rPr>
              <w:t xml:space="preserve"> об отказе в предоставлении услуги согласно поступившей форме запроса</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информации;</w:t>
            </w:r>
          </w:p>
          <w:p>
            <w:pPr>
              <w:jc w:val="left"/>
            </w:pPr>
            <w:r>
              <w:rPr>
                <w:rFonts w:ascii="Arial" w:cs="Arial" w:eastAsia="Arial" w:hAnsi="Arial"/>
                <w:sz w:val="24"/>
                <w:szCs w:val="24"/>
              </w:rPr>
              <w:t xml:space="preserve">- в электронной форме - 10 минут</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p>
            <w:pPr>
              <w:jc w:val="left"/>
            </w:pPr>
            <w:r>
              <w:rPr>
                <w:rFonts w:ascii="Arial" w:cs="Arial" w:eastAsia="Arial" w:hAnsi="Arial"/>
                <w:sz w:val="24"/>
                <w:szCs w:val="24"/>
              </w:rPr>
              <w:t xml:space="preserve">-  готовая тематическая подборка литературы;</w:t>
            </w:r>
          </w:p>
          <w:p>
            <w:pPr>
              <w:jc w:val="left"/>
            </w:pPr>
            <w:r>
              <w:rPr>
                <w:rFonts w:ascii="Arial" w:cs="Arial" w:eastAsia="Arial" w:hAnsi="Arial"/>
                <w:sz w:val="24"/>
                <w:szCs w:val="24"/>
              </w:rPr>
              <w:t xml:space="preserve">- отказ в предоставлении услуги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r>
              <w:rPr>
                <w:rFonts w:ascii="Arial" w:cs="Arial" w:eastAsia="Arial" w:hAnsi="Arial"/>
                <w:sz w:val="24"/>
                <w:szCs w:val="24"/>
              </w:rPr>
              <w:t xml:space="preserve"> по мере готовности информации;</w:t>
            </w:r>
          </w:p>
          <w:p>
            <w:pPr>
              <w:jc w:val="left"/>
            </w:pPr>
            <w:r>
              <w:rPr>
                <w:rFonts w:ascii="Arial" w:cs="Arial" w:eastAsia="Arial" w:hAnsi="Arial"/>
                <w:sz w:val="24"/>
                <w:szCs w:val="24"/>
              </w:rPr>
              <w:t xml:space="preserve">- </w:t>
            </w:r>
            <w:r>
              <w:rPr>
                <w:rFonts w:ascii="Arial" w:cs="Arial" w:eastAsia="Arial" w:hAnsi="Arial"/>
                <w:sz w:val="24"/>
                <w:szCs w:val="24"/>
              </w:rPr>
              <w:t xml:space="preserve">в электронной форме посредством</w:t>
            </w:r>
            <w:r>
              <w:rPr>
                <w:rFonts w:ascii="Arial" w:cs="Arial" w:eastAsia="Arial" w:hAnsi="Arial"/>
                <w:sz w:val="24"/>
                <w:szCs w:val="24"/>
              </w:rPr>
              <w:t xml:space="preserve"> ГПЭУ – 1 час 15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4. Выдача тематической подборки научно-технической информации </w:t>
            </w:r>
          </w:p>
        </w:tc>
      </w:tr>
      <w:tr>
        <w:tc>
          <w:tcPr>
            <w:tcW w:type="dxa" w:w="2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Предоставление готовой тематической подборки потребителю.</w:t>
            </w:r>
          </w:p>
          <w:p>
            <w:pPr>
              <w:jc w:val="left"/>
            </w:pPr>
            <w:r>
              <w:rPr>
                <w:rFonts w:ascii="Arial" w:cs="Arial" w:eastAsia="Arial" w:hAnsi="Arial"/>
                <w:sz w:val="24"/>
                <w:szCs w:val="24"/>
              </w:rPr>
              <w:t xml:space="preserve">При запросе в электронной форме тематическая подборка направляется через ГПЭУ.</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w:t>
            </w:r>
          </w:p>
        </w:tc>
        <w:tc>
          <w:tcPr>
            <w:tcW w:type="dxa" w:w="1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tc>
        <w:tc>
          <w:tcPr>
            <w:tcW w:type="dxa" w:w="2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w:t>
            </w:r>
            <w:r>
              <w:rPr>
                <w:rFonts w:ascii="Arial" w:cs="Arial" w:eastAsia="Arial" w:hAnsi="Arial"/>
                <w:sz w:val="24"/>
                <w:szCs w:val="24"/>
              </w:rPr>
              <w:t xml:space="preserve">ГУИЦ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1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тематической подборки </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тематической подборки научно-технической информации</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В бумажной или в электронной форме </w:t>
            </w:r>
            <w:r>
              <w:rPr>
                <w:rFonts w:ascii="Arial" w:cs="Arial" w:eastAsia="Arial" w:hAnsi="Arial"/>
                <w:sz w:val="24"/>
                <w:szCs w:val="24"/>
              </w:rPr>
              <w:t xml:space="preserve">посредством</w:t>
            </w:r>
            <w:r>
              <w:rPr>
                <w:rFonts w:ascii="Arial" w:cs="Arial" w:eastAsia="Arial" w:hAnsi="Arial"/>
                <w:sz w:val="24"/>
                <w:szCs w:val="24"/>
              </w:rPr>
              <w:t xml:space="preserve"> ГПЭУ – 5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jc w:val="left"/>
            </w:pPr>
            <w:r>
              <w:rPr>
                <w:rFonts w:ascii="Arial" w:cs="Arial" w:eastAsia="Arial" w:hAnsi="Arial"/>
                <w:sz w:val="24"/>
                <w:szCs w:val="24"/>
              </w:rPr>
              <w:t xml:space="preserve">Уведомление о приеме заявления к рассмотрению – до 15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до 2-х часов.</w:t>
            </w:r>
          </w:p>
          <w:p>
            <w:pPr>
              <w:jc w:val="left"/>
            </w:pPr>
            <w:r>
              <w:rPr>
                <w:rFonts w:ascii="Arial" w:cs="Arial" w:eastAsia="Arial" w:hAnsi="Arial"/>
                <w:sz w:val="24"/>
                <w:szCs w:val="24"/>
              </w:rPr>
              <w:t xml:space="preserve">Выдача результата услуги в бумажной или в электронной форме – до 5 минут</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Схемы (алгоритмы) выполнения процедур 1, 2, 3,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w:t>
      </w:r>
      <w:r>
        <w:rPr>
          <w:rFonts w:ascii="Arial" w:cs="Arial" w:eastAsia="Arial" w:hAnsi="Arial"/>
          <w:sz w:val="24"/>
          <w:szCs w:val="24"/>
        </w:rPr>
        <w:t xml:space="preserve">го</w:t>
      </w:r>
      <w:r>
        <w:rPr>
          <w:rFonts w:ascii="Arial" w:cs="Arial" w:eastAsia="Arial" w:hAnsi="Arial"/>
          <w:sz w:val="24"/>
          <w:szCs w:val="24"/>
        </w:rPr>
        <w:t xml:space="preserve"> учреждени</w:t>
      </w:r>
      <w:r>
        <w:rPr>
          <w:rFonts w:ascii="Arial" w:cs="Arial" w:eastAsia="Arial" w:hAnsi="Arial"/>
          <w:sz w:val="24"/>
          <w:szCs w:val="24"/>
        </w:rPr>
        <w:t xml:space="preserve">я</w:t>
      </w:r>
      <w:r>
        <w:rPr>
          <w:rFonts w:ascii="Arial" w:cs="Arial" w:eastAsia="Arial" w:hAnsi="Arial"/>
          <w:sz w:val="24"/>
          <w:szCs w:val="24"/>
        </w:rPr>
        <w:t xml:space="preserve"> “Инновационный центр” при Кыргызпатенте.</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w:t>
      </w:r>
      <w:r>
        <w:rPr>
          <w:rFonts w:ascii="Arial" w:cs="Arial" w:eastAsia="Arial" w:hAnsi="Arial"/>
          <w:sz w:val="24"/>
          <w:szCs w:val="24"/>
        </w:rPr>
        <w:t xml:space="preserve">заявителей</w:t>
      </w:r>
      <w:r>
        <w:rPr>
          <w:rFonts w:ascii="Arial" w:cs="Arial" w:eastAsia="Arial" w:hAnsi="Arial"/>
          <w:sz w:val="24"/>
          <w:szCs w:val="24"/>
        </w:rPr>
        <w:t xml:space="preserve">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w:t>
      </w:r>
      <w:r>
        <w:rPr>
          <w:rFonts w:ascii="Arial" w:cs="Arial" w:eastAsia="Arial" w:hAnsi="Arial"/>
          <w:sz w:val="24"/>
          <w:szCs w:val="24"/>
        </w:rPr>
        <w:t xml:space="preserve">УИЦ.</w:t>
      </w:r>
    </w:p>
    <w:p>
      <w:pPr>
        <w:spacing w:after="120"/>
        <w:ind w:firstLine="567"/>
        <w:jc w:val="both"/>
      </w:pPr>
      <w:r>
        <w:rPr>
          <w:rFonts w:ascii="Arial" w:cs="Arial" w:eastAsia="Arial" w:hAnsi="Arial"/>
          <w:sz w:val="24"/>
          <w:szCs w:val="24"/>
        </w:rPr>
        <w:t xml:space="preserve">Г</w:t>
      </w:r>
      <w:r>
        <w:rPr>
          <w:rFonts w:ascii="Arial" w:cs="Arial" w:eastAsia="Arial" w:hAnsi="Arial"/>
          <w:sz w:val="24"/>
          <w:szCs w:val="24"/>
        </w:rPr>
        <w:t xml:space="preserve">УИЦ</w:t>
      </w:r>
      <w:r>
        <w:rPr>
          <w:rFonts w:ascii="Arial" w:cs="Arial" w:eastAsia="Arial" w:hAnsi="Arial"/>
          <w:sz w:val="24"/>
          <w:szCs w:val="24"/>
        </w:rPr>
        <w:t xml:space="preserve">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w:t>
      </w:r>
      <w:r>
        <w:rPr>
          <w:rFonts w:ascii="Arial" w:cs="Arial" w:eastAsia="Arial" w:hAnsi="Arial"/>
          <w:sz w:val="24"/>
          <w:szCs w:val="24"/>
        </w:rPr>
        <w:t xml:space="preserve">УИЦ</w:t>
      </w:r>
      <w:r>
        <w:rPr>
          <w:rFonts w:ascii="Arial" w:cs="Arial" w:eastAsia="Arial" w:hAnsi="Arial"/>
          <w:sz w:val="24"/>
          <w:szCs w:val="24"/>
        </w:rPr>
        <w:t xml:space="preserve">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wfi0nuid1howefnth_md">
      <w:r>
        <w:rPr>
          <w:rFonts w:ascii="Arial" w:cs="Arial" w:eastAsia="Arial" w:hAnsi="Arial"/>
          <w:color w:val="132D3F"/>
          <w:sz w:val="16"/>
          <w:szCs w:val="16"/>
          <w:u w:val="single"/>
        </w:rPr>
        <w:t xml:space="preserve">dalil.kg/document/200692</w:t>
      </w:r>
    </w:hyperlink>
  </w:p>
  <w:p>
    <w:pPr>
      <w:spacing w:after="0" w:before="40"/>
      <w:jc w:val="center"/>
    </w:pPr>
    <w:hyperlink w:history="1" r:id="rIdsbohtsosn7xvfb2eckjo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fi0nuid1howefnth_md" Type="http://schemas.openxmlformats.org/officeDocument/2006/relationships/hyperlink" Target="https://dalil.kg/document/200692" TargetMode="External"/><Relationship Id="rIdsbohtsosn7xvfb2eckjo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2026-09-29T09:52:43.566Z</dcterms:created>
  <dcterms:modified xsi:type="dcterms:W3CDTF">2026-09-29T09:52:43.566Z</dcterms:modified>
</cp:coreProperties>
</file>

<file path=docProps/custom.xml><?xml version="1.0" encoding="utf-8"?>
<Properties xmlns="http://schemas.openxmlformats.org/officeDocument/2006/custom-properties" xmlns:vt="http://schemas.openxmlformats.org/officeDocument/2006/docPropsVTypes"/>
</file>