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ind w:firstLine="715"/>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Обеспечение доступа к специальным базам данных</w:t>
      </w:r>
    </w:p>
    <w:p>
      <w:pPr>
        <w:spacing w:after="120"/>
        <w:jc w:val="center"/>
      </w:pPr>
      <w:r>
        <w:rPr>
          <w:rFonts w:ascii="Arial" w:cs="Arial" w:eastAsia="Arial" w:hAnsi="Arial"/>
          <w:b/>
          <w:bCs/>
          <w:sz w:val="24"/>
          <w:szCs w:val="24"/>
        </w:rPr>
        <w:t xml:space="preserve">пункт 17 глава 6</w:t>
      </w:r>
      <w:r>
        <w:rPr>
          <w:rFonts w:ascii="Arial" w:cs="Arial" w:eastAsia="Arial" w:hAnsi="Arial"/>
          <w:b/>
          <w:bCs/>
          <w:sz w:val="24"/>
          <w:szCs w:val="24"/>
        </w:rPr>
        <w:t xml:space="preserve">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фонд</w:t>
      </w:r>
      <w:r>
        <w:rPr>
          <w:rFonts w:ascii="Arial" w:cs="Arial" w:eastAsia="Arial" w:hAnsi="Arial"/>
          <w:sz w:val="24"/>
          <w:szCs w:val="24"/>
        </w:rPr>
        <w:t xml:space="preserve">ом</w:t>
      </w:r>
      <w:r>
        <w:rPr>
          <w:rFonts w:ascii="Arial" w:cs="Arial" w:eastAsia="Arial" w:hAnsi="Arial"/>
          <w:sz w:val="24"/>
          <w:szCs w:val="24"/>
        </w:rPr>
        <w:t xml:space="preserve"> интеллектуальной собственности (далее – Г</w:t>
      </w:r>
      <w:r>
        <w:rPr>
          <w:rFonts w:ascii="Arial" w:cs="Arial" w:eastAsia="Arial" w:hAnsi="Arial"/>
          <w:sz w:val="24"/>
          <w:szCs w:val="24"/>
        </w:rPr>
        <w:t xml:space="preserve">осфонд ИС</w:t>
      </w:r>
      <w:r>
        <w:rPr>
          <w:rFonts w:ascii="Arial" w:cs="Arial" w:eastAsia="Arial" w:hAnsi="Arial"/>
          <w:sz w:val="24"/>
          <w:szCs w:val="24"/>
        </w:rPr>
        <w:t xml:space="preserve">)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10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принятом решении, по заявлению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в течение 1 рабочего дня.</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 с указанием темы запроса;</w:t>
      </w:r>
    </w:p>
    <w:p>
      <w:pPr>
        <w:spacing w:after="120"/>
        <w:jc w:val="both"/>
      </w:pPr>
      <w:r>
        <w:rPr>
          <w:rFonts w:ascii="Arial" w:cs="Arial" w:eastAsia="Arial" w:hAnsi="Arial"/>
          <w:sz w:val="24"/>
          <w:szCs w:val="24"/>
        </w:rPr>
        <w:t xml:space="preserve">б) документ, удостоверяющий личность при личном обращении. </w:t>
      </w:r>
    </w:p>
    <w:p>
      <w:pPr>
        <w:spacing w:after="120"/>
        <w:jc w:val="both"/>
      </w:pPr>
      <w:r>
        <w:rPr>
          <w:rFonts w:ascii="Arial" w:cs="Arial" w:eastAsia="Arial" w:hAnsi="Arial"/>
          <w:sz w:val="24"/>
          <w:szCs w:val="24"/>
        </w:rPr>
        <w:t xml:space="preserve">Услуга предоставляется на бесплатной основе.</w:t>
      </w:r>
    </w:p>
    <w:p>
      <w:pPr>
        <w:spacing w:after="120"/>
        <w:ind w:firstLine="567"/>
        <w:jc w:val="both"/>
      </w:pPr>
      <w:r>
        <w:rPr>
          <w:rFonts w:ascii="Arial" w:cs="Arial" w:eastAsia="Arial" w:hAnsi="Arial"/>
          <w:sz w:val="24"/>
          <w:szCs w:val="24"/>
        </w:rPr>
        <w:t xml:space="preserve">Результат услуги: Обучение пользованию специальными базами данных патентных ресурсов, предоставление онлайн-доступа к патентной и непатентной информации (научные и технические ресурсы) в помощь изобретательской и предпринимательской деятельности.</w:t>
      </w:r>
    </w:p>
    <w:p>
      <w:pPr>
        <w:spacing w:after="120"/>
        <w:ind w:firstLine="567"/>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5067"/>
        <w:gridCol w:w="4626"/>
      </w:tblGrid>
      <w:tr>
        <w:tc>
          <w:tcPr>
            <w:tcW w:type="dxa" w:w="484"/>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50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46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 </w:t>
            </w:r>
          </w:p>
        </w:tc>
        <w:tc>
          <w:tcPr>
            <w:tcW w:type="dxa" w:w="4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специальным базам данных</w:t>
            </w:r>
          </w:p>
        </w:tc>
        <w:tc>
          <w:tcPr>
            <w:tcW w:type="dxa" w:w="4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bl>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p>
      <w:pPr>
        <w:spacing w:after="120"/>
        <w:ind w:firstLine="708"/>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0"/>
        <w:gridCol w:w="1789"/>
        <w:gridCol w:w="1690"/>
        <w:gridCol w:w="2187"/>
        <w:gridCol w:w="1751"/>
      </w:tblGrid>
      <w:tr>
        <w:tc>
          <w:tcPr>
            <w:tcW w:type="dxa" w:w="27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27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Прием, регистрация, рассмотрение заявления</w:t>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7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both"/>
            </w:pPr>
            <w:r>
              <w:rPr>
                <w:rFonts w:ascii="Arial" w:cs="Arial" w:eastAsia="Arial" w:hAnsi="Arial"/>
                <w:sz w:val="24"/>
                <w:szCs w:val="24"/>
              </w:rPr>
              <w:t xml:space="preserve">Положение об отделе</w:t>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w:t>
            </w:r>
            <w:r>
              <w:rPr>
                <w:rFonts w:ascii="Arial" w:cs="Arial" w:eastAsia="Arial" w:hAnsi="Arial"/>
                <w:sz w:val="24"/>
                <w:szCs w:val="24"/>
              </w:rPr>
              <w:t xml:space="preserve">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w:t>
            </w:r>
            <w:r>
              <w:rPr>
                <w:rFonts w:ascii="Arial" w:cs="Arial" w:eastAsia="Arial" w:hAnsi="Arial"/>
                <w:sz w:val="24"/>
                <w:szCs w:val="24"/>
              </w:rPr>
              <w:t xml:space="preserve"> </w:t>
            </w:r>
            <w:r>
              <w:rPr>
                <w:rFonts w:ascii="Arial" w:cs="Arial" w:eastAsia="Arial" w:hAnsi="Arial"/>
                <w:sz w:val="24"/>
                <w:szCs w:val="24"/>
              </w:rPr>
              <w:t xml:space="preserve">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vMerge w:val="continue"/>
            <w:tcBorders>
              <w:top w:val="none" w:color="auto" w:sz="0"/>
              <w:left w:val="none" w:color="auto" w:sz="0"/>
              <w:bottom w:val="single" w:color="CBBF9E" w:sz="4"/>
              <w:right w:val="single" w:color="CBBF9E" w:sz="4"/>
            </w:tcBorders>
          </w:tcP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и рассмотрение заявления</w:t>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принятом решении по предоставлению услуги тем же способом, каким было получено заявление.</w:t>
            </w:r>
          </w:p>
          <w:p>
            <w:pPr>
              <w:jc w:val="both"/>
            </w:pPr>
            <w:r>
              <w:rPr>
                <w:rFonts w:ascii="Arial" w:cs="Arial" w:eastAsia="Arial" w:hAnsi="Arial"/>
                <w:sz w:val="24"/>
                <w:szCs w:val="24"/>
              </w:rPr>
              <w:t xml:space="preserve">Отказ в предоставлении услуги производится в случаях: </w:t>
            </w:r>
          </w:p>
          <w:p>
            <w:pPr>
              <w:jc w:val="both"/>
            </w:pPr>
            <w:r>
              <w:rPr>
                <w:rFonts w:ascii="Arial" w:cs="Arial" w:eastAsia="Arial" w:hAnsi="Arial"/>
                <w:sz w:val="24"/>
                <w:szCs w:val="24"/>
              </w:rPr>
              <w:t xml:space="preserve">- отсутствия документа, удостоверяющего личность (личное обращение);</w:t>
            </w:r>
          </w:p>
          <w:p>
            <w:pPr>
              <w:jc w:val="both"/>
            </w:pPr>
            <w:r>
              <w:rPr>
                <w:rFonts w:ascii="Arial" w:cs="Arial" w:eastAsia="Arial" w:hAnsi="Arial"/>
                <w:sz w:val="24"/>
                <w:szCs w:val="24"/>
              </w:rPr>
              <w:t xml:space="preserve">- в связи с отсутствием информации;</w:t>
            </w:r>
          </w:p>
          <w:p>
            <w:pPr>
              <w:jc w:val="both"/>
            </w:pPr>
            <w:r>
              <w:rPr>
                <w:rFonts w:ascii="Arial" w:cs="Arial" w:eastAsia="Arial" w:hAnsi="Arial"/>
                <w:sz w:val="24"/>
                <w:szCs w:val="24"/>
              </w:rPr>
              <w:t xml:space="preserve">- конфиденциальности информации в базе данных;</w:t>
            </w:r>
          </w:p>
          <w:p>
            <w:pPr>
              <w:jc w:val="both"/>
            </w:pPr>
            <w:r>
              <w:rPr>
                <w:rFonts w:ascii="Arial" w:cs="Arial" w:eastAsia="Arial" w:hAnsi="Arial"/>
                <w:sz w:val="24"/>
                <w:szCs w:val="24"/>
              </w:rPr>
              <w:t xml:space="preserve">- если текст запроса не поддается прочтению;</w:t>
            </w:r>
          </w:p>
          <w:p>
            <w:pPr>
              <w:jc w:val="both"/>
            </w:pPr>
            <w:r>
              <w:rPr>
                <w:rFonts w:ascii="Arial" w:cs="Arial" w:eastAsia="Arial" w:hAnsi="Arial"/>
                <w:sz w:val="24"/>
                <w:szCs w:val="24"/>
              </w:rPr>
              <w:t xml:space="preserve">- если содержание запроса не позволяет установить запрашиваемую информацию (при отсутствии контактной информации)</w:t>
            </w:r>
          </w:p>
        </w:tc>
        <w:tc>
          <w:tcPr>
            <w:vMerge w:val="continue"/>
            <w:tcBorders>
              <w:top w:val="none" w:color="auto" w:sz="0"/>
              <w:left w:val="none" w:color="auto" w:sz="0"/>
              <w:bottom w:val="single" w:color="CBBF9E" w:sz="4"/>
              <w:right w:val="single" w:color="CBBF9E" w:sz="4"/>
            </w:tcBorders>
          </w:tcP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both"/>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принятом решении: </w:t>
            </w:r>
          </w:p>
          <w:p>
            <w:pPr>
              <w:jc w:val="left"/>
            </w:pPr>
            <w:r>
              <w:rPr>
                <w:rFonts w:ascii="Arial" w:cs="Arial" w:eastAsia="Arial" w:hAnsi="Arial"/>
                <w:sz w:val="24"/>
                <w:szCs w:val="24"/>
              </w:rPr>
              <w:t xml:space="preserve">1. Предоставление услуги.</w:t>
            </w:r>
          </w:p>
          <w:p>
            <w:pPr>
              <w:jc w:val="left"/>
            </w:pPr>
            <w:r>
              <w:rPr>
                <w:rFonts w:ascii="Arial" w:cs="Arial" w:eastAsia="Arial" w:hAnsi="Arial"/>
                <w:sz w:val="24"/>
                <w:szCs w:val="24"/>
              </w:rPr>
              <w:t xml:space="preserve">2. Отказ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регистрация отказа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Обеспечение доступа к специальным базам данных </w:t>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При личном обращении предоставляется:</w:t>
            </w:r>
          </w:p>
          <w:p>
            <w:pPr>
              <w:jc w:val="both"/>
            </w:pPr>
            <w:r>
              <w:rPr>
                <w:rFonts w:ascii="Arial" w:cs="Arial" w:eastAsia="Arial" w:hAnsi="Arial"/>
                <w:sz w:val="24"/>
                <w:szCs w:val="24"/>
              </w:rPr>
              <w:t xml:space="preserve">- консультация по предоставлению онлайн-доступа к патентной и непатентной информации;</w:t>
            </w:r>
          </w:p>
          <w:p>
            <w:pPr>
              <w:jc w:val="both"/>
            </w:pPr>
            <w:r>
              <w:rPr>
                <w:rFonts w:ascii="Arial" w:cs="Arial" w:eastAsia="Arial" w:hAnsi="Arial"/>
                <w:sz w:val="24"/>
                <w:szCs w:val="24"/>
              </w:rPr>
              <w:t xml:space="preserve">- правильный поиск </w:t>
            </w:r>
            <w:r>
              <w:rPr>
                <w:rFonts w:ascii="Arial" w:cs="Arial" w:eastAsia="Arial" w:hAnsi="Arial"/>
                <w:sz w:val="24"/>
                <w:szCs w:val="24"/>
              </w:rPr>
              <w:t xml:space="preserve">с использованием вспомогательных операторов.</w:t>
            </w:r>
          </w:p>
          <w:p>
            <w:pPr>
              <w:jc w:val="both"/>
            </w:pPr>
            <w:r>
              <w:rPr>
                <w:rFonts w:ascii="Arial" w:cs="Arial" w:eastAsia="Arial" w:hAnsi="Arial"/>
                <w:sz w:val="24"/>
                <w:szCs w:val="24"/>
              </w:rPr>
              <w:t xml:space="preserve">При запросе в электронной форме ответ на запрос направляется через ГПЭУ.</w:t>
            </w:r>
          </w:p>
          <w:p>
            <w:pPr>
              <w:jc w:val="both"/>
            </w:pPr>
            <w:r>
              <w:rPr>
                <w:rFonts w:ascii="Arial" w:cs="Arial" w:eastAsia="Arial" w:hAnsi="Arial"/>
                <w:sz w:val="24"/>
                <w:szCs w:val="24"/>
              </w:rPr>
              <w:t xml:space="preserve">В случае некомпетентности запроса потребителю отказывается в предоставлении услуги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left"/>
            </w:pPr>
            <w:r>
              <w:rPr>
                <w:rFonts w:ascii="Arial" w:cs="Arial" w:eastAsia="Arial" w:hAnsi="Arial"/>
                <w:sz w:val="24"/>
                <w:szCs w:val="24"/>
              </w:rPr>
              <w:t xml:space="preserve">Положение об отделе</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Доступ к специальным базам данных. </w:t>
            </w:r>
          </w:p>
          <w:p>
            <w:pPr>
              <w:jc w:val="left"/>
            </w:pPr>
            <w:r>
              <w:rPr>
                <w:rFonts w:ascii="Arial" w:cs="Arial" w:eastAsia="Arial" w:hAnsi="Arial"/>
                <w:sz w:val="24"/>
                <w:szCs w:val="24"/>
              </w:rPr>
              <w:t xml:space="preserve">2. Отказ</w:t>
            </w:r>
            <w:r>
              <w:rPr>
                <w:rFonts w:ascii="Arial" w:cs="Arial" w:eastAsia="Arial" w:hAnsi="Arial"/>
                <w:sz w:val="24"/>
                <w:szCs w:val="24"/>
              </w:rPr>
              <w:t xml:space="preserve"> в предоставлении услуги</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доступ к специальным базам данных;</w:t>
            </w:r>
          </w:p>
          <w:p>
            <w:pPr>
              <w:jc w:val="left"/>
            </w:pPr>
            <w:r>
              <w:rPr>
                <w:rFonts w:ascii="Arial" w:cs="Arial" w:eastAsia="Arial" w:hAnsi="Arial"/>
                <w:sz w:val="24"/>
                <w:szCs w:val="24"/>
              </w:rPr>
              <w:t xml:space="preserve">- отказ</w:t>
            </w:r>
            <w:r>
              <w:rPr>
                <w:rFonts w:ascii="Arial" w:cs="Arial" w:eastAsia="Arial" w:hAnsi="Arial"/>
                <w:sz w:val="24"/>
                <w:szCs w:val="24"/>
              </w:rPr>
              <w:t xml:space="preserve">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в течение 1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both"/>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 до 5 минут. </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в течение 1 рабочего дня.</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8"/>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 1, 2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9"/>
        <w:jc w:val="both"/>
      </w:pPr>
      <w:r>
        <w:rPr>
          <w:rFonts w:ascii="Arial" w:cs="Arial" w:eastAsia="Arial" w:hAnsi="Arial"/>
          <w:sz w:val="24"/>
          <w:szCs w:val="24"/>
        </w:rPr>
        <w:t xml:space="preserve">Внутренний контроль проводит исполнительный директор Госфонда ИС.</w:t>
      </w:r>
    </w:p>
    <w:p>
      <w:pPr>
        <w:spacing w:after="120"/>
        <w:ind w:firstLine="709"/>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709"/>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Госфонд ИС.</w:t>
      </w:r>
    </w:p>
    <w:p>
      <w:pPr>
        <w:spacing w:after="120"/>
        <w:ind w:firstLine="709"/>
        <w:jc w:val="both"/>
      </w:pPr>
      <w:r>
        <w:rPr>
          <w:rFonts w:ascii="Arial" w:cs="Arial" w:eastAsia="Arial" w:hAnsi="Arial"/>
          <w:sz w:val="24"/>
          <w:szCs w:val="24"/>
        </w:rPr>
        <w:t xml:space="preserve">Госфонд ИС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xdgxsrh8ca9k8b1fw8s">
      <w:r>
        <w:rPr>
          <w:rFonts w:ascii="Arial" w:cs="Arial" w:eastAsia="Arial" w:hAnsi="Arial"/>
          <w:color w:val="132D3F"/>
          <w:sz w:val="16"/>
          <w:szCs w:val="16"/>
          <w:u w:val="single"/>
        </w:rPr>
        <w:t xml:space="preserve">dalil.kg/document/200696</w:t>
      </w:r>
    </w:hyperlink>
  </w:p>
  <w:p>
    <w:pPr>
      <w:spacing w:after="0" w:before="40"/>
      <w:jc w:val="center"/>
    </w:pPr>
    <w:hyperlink w:history="1" r:id="rId1fsnuu5d0iz1kuvbobz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xdgxsrh8ca9k8b1fw8s" Type="http://schemas.openxmlformats.org/officeDocument/2006/relationships/hyperlink" Target="https://dalil.kg/document/200696" TargetMode="External"/><Relationship Id="rId1fsnuu5d0iz1kuvbobz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2026-09-29T09:52:55.671Z</dcterms:created>
  <dcterms:modified xsi:type="dcterms:W3CDTF">2026-09-29T09:52:55.671Z</dcterms:modified>
</cp:coreProperties>
</file>

<file path=docProps/custom.xml><?xml version="1.0" encoding="utf-8"?>
<Properties xmlns="http://schemas.openxmlformats.org/officeDocument/2006/custom-properties" xmlns:vt="http://schemas.openxmlformats.org/officeDocument/2006/docPropsVTypes"/>
</file>