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8</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 предоставляемый  Государственным агентством интеллектуальной собственности и инноваций </w:t>
      </w:r>
    </w:p>
    <w:p>
      <w:pPr>
        <w:spacing w:after="240" w:before="200"/>
        <w:jc w:val="center"/>
      </w:pPr>
      <w:r>
        <w:rPr>
          <w:rFonts w:ascii="Arial" w:cs="Arial" w:eastAsia="Arial" w:hAnsi="Arial"/>
          <w:b/>
          <w:bCs/>
          <w:sz w:val="32"/>
          <w:szCs w:val="32"/>
        </w:rPr>
        <w:t xml:space="preserve">при Кабинете Министров Кыргызской Республики (Кыргызпатент)</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p>
    <w:p>
      <w:pPr>
        <w:spacing w:after="120"/>
        <w:ind w:firstLine="708"/>
        <w:jc w:val="right"/>
      </w:pPr>
      <w:r>
        <w:rPr>
          <w:rFonts w:ascii="Arial" w:cs="Arial" w:eastAsia="Arial" w:hAnsi="Arial"/>
          <w:sz w:val="24"/>
          <w:szCs w:val="24"/>
        </w:rPr>
        <w:t xml:space="preserve">Приказом № 300 от «24» декабря 2021 г.</w:t>
      </w:r>
    </w:p>
    <w:p>
      <w:pPr>
        <w:spacing w:after="120"/>
        <w:ind w:firstLine="708"/>
        <w:jc w:val="right"/>
      </w:pPr>
      <w:r>
        <w:rPr>
          <w:rFonts w:ascii="Arial" w:cs="Arial" w:eastAsia="Arial" w:hAnsi="Arial"/>
          <w:sz w:val="24"/>
          <w:szCs w:val="24"/>
        </w:rPr>
        <w:t xml:space="preserve">___________________________________</w:t>
      </w:r>
    </w:p>
    <w:p>
      <w:pPr>
        <w:spacing w:after="120"/>
        <w:jc w:val="right"/>
      </w:pPr>
      <w:r>
        <w:rPr>
          <w:rFonts w:ascii="Arial" w:cs="Arial" w:eastAsia="Arial" w:hAnsi="Arial"/>
          <w:sz w:val="24"/>
          <w:szCs w:val="24"/>
        </w:rPr>
        <w:t xml:space="preserve">Директор Государственного агентства интеллектуальной собственности и инноваций при Кабинете Министров Кыргызской Республики (Кыргызпатент)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Организация выездных выставок научно-технической литературы,</w:t>
      </w:r>
    </w:p>
    <w:p>
      <w:pPr>
        <w:spacing w:after="240" w:before="200"/>
        <w:jc w:val="center"/>
      </w:pPr>
      <w:r>
        <w:rPr>
          <w:rFonts w:ascii="Arial" w:cs="Arial" w:eastAsia="Arial" w:hAnsi="Arial"/>
          <w:b/>
          <w:bCs/>
          <w:sz w:val="32"/>
          <w:szCs w:val="32"/>
        </w:rPr>
        <w:t xml:space="preserve"> пункт 20 глава 6 Единого реестра (перечня)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данной государственной услуги осуществляется Государственным учреждением “Инновационный центр (далее - ГУИЦ) при Государственном агентстве интеллектуальной собственности и инноваций при Кабинете Министров Кыргызской Республики (далее - Кыргызпатент).</w:t>
      </w:r>
    </w:p>
    <w:p>
      <w:pPr>
        <w:spacing w:after="120"/>
        <w:ind w:firstLine="567"/>
        <w:jc w:val="both"/>
      </w:pPr>
      <w:r>
        <w:rPr>
          <w:rFonts w:ascii="Arial" w:cs="Arial" w:eastAsia="Arial" w:hAnsi="Arial"/>
          <w:sz w:val="24"/>
          <w:szCs w:val="24"/>
        </w:rPr>
        <w:t xml:space="preserve">2. Административный регламент данной услуги соответствует главе 12 раздела V стандарта услуги, утвержденного постановлением Правительства Кыргызской Республики от «3» июня 2014 года № 303.</w:t>
      </w:r>
    </w:p>
    <w:p>
      <w:pPr>
        <w:spacing w:after="120"/>
        <w:ind w:firstLine="567"/>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spacing w:after="120"/>
        <w:jc w:val="both"/>
      </w:pPr>
      <w:r>
        <w:rPr>
          <w:rFonts w:ascii="Arial" w:cs="Arial" w:eastAsia="Arial" w:hAnsi="Arial"/>
          <w:sz w:val="24"/>
          <w:szCs w:val="24"/>
        </w:rPr>
        <w:t xml:space="preserve">Уведомление о приеме заявления к рассмотрению, поданной в электронной форме посредством Государственного портала электронных услуг (ГПЭУ) направляется потребителю услуги – до 20 минут с момента поступления заявления. </w:t>
      </w:r>
    </w:p>
    <w:p>
      <w:pPr>
        <w:spacing w:after="120"/>
        <w:ind w:firstLine="567"/>
        <w:jc w:val="both"/>
      </w:pPr>
      <w:r>
        <w:rPr>
          <w:rFonts w:ascii="Arial" w:cs="Arial" w:eastAsia="Arial" w:hAnsi="Arial"/>
          <w:sz w:val="24"/>
          <w:szCs w:val="24"/>
        </w:rPr>
        <w:t xml:space="preserve">Общий срок предоставления услуги - до 4-х часов.</w:t>
      </w:r>
    </w:p>
    <w:p>
      <w:pPr>
        <w:spacing w:after="120"/>
        <w:ind w:firstLine="567"/>
        <w:jc w:val="both"/>
      </w:pPr>
      <w:r>
        <w:rPr>
          <w:rFonts w:ascii="Arial" w:cs="Arial" w:eastAsia="Arial" w:hAnsi="Arial"/>
          <w:sz w:val="24"/>
          <w:szCs w:val="24"/>
        </w:rPr>
        <w:t xml:space="preserve">Предельное время предоставления выставочных материалов - до 8 часов.</w:t>
      </w:r>
    </w:p>
    <w:p>
      <w:pPr>
        <w:spacing w:after="120"/>
        <w:ind w:firstLine="567"/>
        <w:jc w:val="both"/>
      </w:pPr>
      <w:r>
        <w:rPr>
          <w:rFonts w:ascii="Arial" w:cs="Arial" w:eastAsia="Arial" w:hAnsi="Arial"/>
          <w:sz w:val="24"/>
          <w:szCs w:val="24"/>
        </w:rPr>
        <w:t xml:space="preserve">Перечень документов, необходимых для получения услуги:</w:t>
      </w:r>
    </w:p>
    <w:p>
      <w:pPr>
        <w:spacing w:after="120"/>
        <w:ind w:firstLine="567"/>
        <w:jc w:val="both"/>
      </w:pPr>
      <w:r>
        <w:rPr>
          <w:rFonts w:ascii="Arial" w:cs="Arial" w:eastAsia="Arial" w:hAnsi="Arial"/>
          <w:sz w:val="24"/>
          <w:szCs w:val="24"/>
        </w:rPr>
        <w:t xml:space="preserve">а) заявление установленного образца;</w:t>
      </w:r>
    </w:p>
    <w:p>
      <w:pPr>
        <w:spacing w:after="120"/>
        <w:jc w:val="both"/>
      </w:pPr>
      <w:r>
        <w:rPr>
          <w:rFonts w:ascii="Arial" w:cs="Arial" w:eastAsia="Arial" w:hAnsi="Arial"/>
          <w:sz w:val="24"/>
          <w:szCs w:val="24"/>
        </w:rPr>
        <w:t xml:space="preserve">б) документ удостоверяющий личность, при личном обращении;  </w:t>
      </w:r>
    </w:p>
    <w:p>
      <w:pPr>
        <w:spacing w:after="120"/>
        <w:jc w:val="both"/>
      </w:pPr>
      <w:r>
        <w:rPr>
          <w:rFonts w:ascii="Arial" w:cs="Arial" w:eastAsia="Arial" w:hAnsi="Arial"/>
          <w:sz w:val="24"/>
          <w:szCs w:val="24"/>
        </w:rPr>
        <w:t xml:space="preserve">в) квитанция об оплате или поступлении денежных средств.</w:t>
      </w:r>
    </w:p>
    <w:p>
      <w:pPr>
        <w:spacing w:after="120"/>
        <w:jc w:val="both"/>
      </w:pPr>
      <w:r>
        <w:rPr>
          <w:rFonts w:ascii="Arial" w:cs="Arial" w:eastAsia="Arial" w:hAnsi="Arial"/>
          <w:sz w:val="24"/>
          <w:szCs w:val="24"/>
        </w:rPr>
        <w:t xml:space="preserve">Стоимость услуги – прейскурант цен утверждается приказом Кыргызпатента по согласованию с уполномоченным государственным органом в сфере антимонопольной политики.</w:t>
      </w:r>
    </w:p>
    <w:p>
      <w:pPr>
        <w:spacing w:after="120"/>
        <w:ind w:firstLine="567"/>
        <w:jc w:val="both"/>
      </w:pPr>
      <w:r>
        <w:rPr>
          <w:rFonts w:ascii="Arial" w:cs="Arial" w:eastAsia="Arial" w:hAnsi="Arial"/>
          <w:sz w:val="24"/>
          <w:szCs w:val="24"/>
        </w:rPr>
        <w:t xml:space="preserve"> Результат услуги: Выставка научно-технической литературы</w:t>
      </w:r>
    </w:p>
    <w:p>
      <w:pPr>
        <w:spacing w:after="120"/>
        <w:ind w:firstLine="567"/>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after="120"/>
        <w:ind w:firstLine="567"/>
        <w:jc w:val="both"/>
      </w:pPr>
      <w:r>
        <w:rPr>
          <w:rFonts w:ascii="Arial" w:cs="Arial" w:eastAsia="Arial" w:hAnsi="Arial"/>
          <w:sz w:val="24"/>
          <w:szCs w:val="24"/>
        </w:rPr>
        <w:t xml:space="preserve">4. Производство услуги включает следующий набор процедур:</w:t>
      </w:r>
    </w:p>
    <w:p>
      <w:pPr>
        <w:spacing w:after="120"/>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6"/>
        <w:gridCol w:w="5857"/>
        <w:gridCol w:w="3755"/>
      </w:tblGrid>
      <w:tr>
        <w:tc>
          <w:tcPr>
            <w:tcW w:type="dxa" w:w="566"/>
            <w:tcBorders>
              <w:top w:val="single" w:color="CBBF9E" w:sz="4"/>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w:t>
            </w:r>
          </w:p>
        </w:tc>
        <w:tc>
          <w:tcPr>
            <w:tcW w:type="dxa" w:w="58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3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6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5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регистрация  заявления</w:t>
            </w:r>
          </w:p>
        </w:tc>
        <w:tc>
          <w:tcPr>
            <w:tcW w:type="dxa" w:w="3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both"/>
            </w:pPr>
            <w:r>
              <w:rPr>
                <w:rFonts w:ascii="Arial" w:cs="Arial" w:eastAsia="Arial" w:hAnsi="Arial"/>
                <w:sz w:val="24"/>
                <w:szCs w:val="24"/>
              </w:rPr>
              <w:t xml:space="preserve">- через ГПЭУ</w:t>
            </w:r>
          </w:p>
        </w:tc>
      </w:tr>
      <w:tr>
        <w:tc>
          <w:tcPr>
            <w:tcW w:type="dxa" w:w="56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5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и оформление оплаты</w:t>
            </w:r>
          </w:p>
        </w:tc>
        <w:tc>
          <w:tcPr>
            <w:tcW w:type="dxa" w:w="3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через ГПЭУ;</w:t>
            </w:r>
          </w:p>
          <w:p>
            <w:pPr>
              <w:jc w:val="both"/>
            </w:pPr>
            <w:r>
              <w:rPr>
                <w:rFonts w:ascii="Arial" w:cs="Arial" w:eastAsia="Arial" w:hAnsi="Arial"/>
                <w:sz w:val="24"/>
                <w:szCs w:val="24"/>
              </w:rPr>
              <w:t xml:space="preserve">- любыми не запрещенными законодательством КР платежными способами</w:t>
            </w:r>
          </w:p>
        </w:tc>
      </w:tr>
      <w:tr>
        <w:tc>
          <w:tcPr>
            <w:tcW w:type="dxa" w:w="56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5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Поиск материалов по теме выставки </w:t>
            </w:r>
          </w:p>
        </w:tc>
        <w:tc>
          <w:tcPr>
            <w:tcW w:type="dxa" w:w="3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left"/>
            </w:pPr>
            <w:r>
              <w:rPr>
                <w:rFonts w:ascii="Arial" w:cs="Arial" w:eastAsia="Arial" w:hAnsi="Arial"/>
                <w:sz w:val="24"/>
                <w:szCs w:val="24"/>
              </w:rPr>
              <w:t xml:space="preserve">- через ГПЭУ</w:t>
            </w:r>
          </w:p>
        </w:tc>
      </w:tr>
      <w:tr>
        <w:tc>
          <w:tcPr>
            <w:tcW w:type="dxa" w:w="56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4. </w:t>
            </w:r>
          </w:p>
        </w:tc>
        <w:tc>
          <w:tcPr>
            <w:tcW w:type="dxa" w:w="5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Экспозиция выставки</w:t>
            </w:r>
          </w:p>
        </w:tc>
        <w:tc>
          <w:tcPr>
            <w:tcW w:type="dxa" w:w="3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личное присутствие</w:t>
            </w:r>
          </w:p>
        </w:tc>
      </w:tr>
    </w:tbl>
    <w:p>
      <w:pPr>
        <w:spacing w:after="120"/>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Описание процедур и их характеристики </w:t>
      </w:r>
    </w:p>
    <w:p>
      <w:pPr>
        <w:spacing w:after="120"/>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9"/>
        <w:gridCol w:w="1689"/>
        <w:gridCol w:w="662"/>
        <w:gridCol w:w="662"/>
        <w:gridCol w:w="614"/>
        <w:gridCol w:w="614"/>
        <w:gridCol w:w="1606"/>
        <w:gridCol w:w="1322"/>
        <w:gridCol w:w="1322"/>
      </w:tblGrid>
      <w:tr>
        <w:tc>
          <w:tcPr>
            <w:tcW w:type="dxa" w:w="33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3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2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6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c>
          <w:tcPr>
            <w:tcW w:type="dxa" w:w="26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действий</w:t>
            </w:r>
          </w:p>
        </w:tc>
      </w:tr>
      <w:tr>
        <w:tc>
          <w:tcPr>
            <w:tcW w:type="dxa" w:w="33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6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80"/>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1. Прием, регистрация заявления</w:t>
            </w:r>
          </w:p>
        </w:tc>
      </w:tr>
      <w:tr>
        <w:tc>
          <w:tcPr>
            <w:tcW w:type="dxa" w:w="3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Основанием для начала предоставления услуги является обращение потребителя услуги</w:t>
            </w:r>
          </w:p>
        </w:tc>
        <w:tc>
          <w:tcPr>
            <w:tcW w:type="dxa" w:w="132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1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ГУИЦ;</w:t>
            </w:r>
          </w:p>
          <w:p>
            <w:pPr>
              <w:jc w:val="both"/>
            </w:pPr>
            <w:r>
              <w:rPr>
                <w:rFonts w:ascii="Arial" w:cs="Arial" w:eastAsia="Arial" w:hAnsi="Arial"/>
                <w:sz w:val="24"/>
                <w:szCs w:val="24"/>
              </w:rPr>
              <w:t xml:space="preserve">Положения об отделах ГУИЦ</w:t>
            </w:r>
          </w:p>
        </w:tc>
        <w:tc>
          <w:tcPr>
            <w:tcW w:type="dxa" w:w="26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При обращении потребителя в личной или электронной форме посредством ГПЭУ принятое к рассмотрению заявление зарегистрировать в журнале </w:t>
            </w:r>
            <w:r>
              <w:rPr>
                <w:rFonts w:ascii="Arial" w:cs="Arial" w:eastAsia="Arial" w:hAnsi="Arial"/>
                <w:sz w:val="24"/>
                <w:szCs w:val="24"/>
              </w:rPr>
              <w:t xml:space="preserve">входящих документов</w:t>
            </w:r>
            <w:r>
              <w:rPr>
                <w:rFonts w:ascii="Arial" w:cs="Arial" w:eastAsia="Arial" w:hAnsi="Arial"/>
                <w:sz w:val="24"/>
                <w:szCs w:val="24"/>
              </w:rPr>
              <w:t xml:space="preserve"> и внести информацию в систему электронного документооборота.</w:t>
            </w:r>
          </w:p>
          <w:p>
            <w:pPr>
              <w:jc w:val="both"/>
            </w:pPr>
            <w:r>
              <w:rPr>
                <w:rFonts w:ascii="Arial" w:cs="Arial" w:eastAsia="Arial" w:hAnsi="Arial"/>
                <w:sz w:val="24"/>
                <w:szCs w:val="24"/>
              </w:rPr>
              <w:t xml:space="preserve">При личном обращении установить личность  потребителя услуги по документу, удостоверяющего личность.</w:t>
            </w:r>
          </w:p>
        </w:tc>
        <w:tc>
          <w:tcPr>
            <w:gridSpan w:val="2"/>
            <w:vMerge w:val="continue"/>
            <w:tcBorders>
              <w:top w:val="none" w:color="auto" w:sz="0"/>
              <w:left w:val="none" w:color="auto" w:sz="0"/>
              <w:bottom w:val="single" w:color="CBBF9E" w:sz="4"/>
              <w:right w:val="single" w:color="CBBF9E" w:sz="4"/>
            </w:tcBorders>
          </w:tcPr>
          <w:p/>
        </w:tc>
        <w:tc>
          <w:tcPr>
            <w:tcW w:type="dxa" w:w="1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r>
              <w:rPr>
                <w:rFonts w:ascii="Arial" w:cs="Arial" w:eastAsia="Arial" w:hAnsi="Arial"/>
                <w:sz w:val="24"/>
                <w:szCs w:val="24"/>
              </w:rPr>
              <w:t xml:space="preserve"> минут</w:t>
            </w:r>
          </w:p>
        </w:tc>
        <w:tc>
          <w:tcPr>
            <w:vMerge w:val="continue"/>
            <w:tcBorders>
              <w:top w:val="none" w:color="auto" w:sz="0"/>
              <w:left w:val="none" w:color="auto" w:sz="0"/>
              <w:bottom w:val="single" w:color="CBBF9E" w:sz="4"/>
              <w:right w:val="single" w:color="CBBF9E" w:sz="4"/>
            </w:tcBorders>
          </w:tcPr>
          <w:p/>
        </w:tc>
        <w:tc>
          <w:tcPr>
            <w:tcW w:type="dxa" w:w="26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регистрация заявления</w:t>
            </w:r>
          </w:p>
        </w:tc>
      </w:tr>
      <w:tr>
        <w:tc>
          <w:tcPr>
            <w:tcW w:type="dxa" w:w="33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Потребителю услуги, направляется уведомление о приеме заявления к рассмотрению тем же способом, каким было получено заявление</w:t>
            </w:r>
          </w:p>
        </w:tc>
        <w:tc>
          <w:tcPr>
            <w:gridSpan w:val="2"/>
            <w:vMerge w:val="continue"/>
            <w:tcBorders>
              <w:top w:val="none" w:color="auto" w:sz="0"/>
              <w:left w:val="none" w:color="auto" w:sz="0"/>
              <w:bottom w:val="single" w:color="CBBF9E" w:sz="4"/>
              <w:right w:val="single" w:color="CBBF9E" w:sz="4"/>
            </w:tcBorders>
          </w:tcPr>
          <w:p/>
        </w:tc>
        <w:tc>
          <w:tcPr>
            <w:tcW w:type="dxa" w:w="1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w:t>
            </w:r>
          </w:p>
          <w:p>
            <w:pPr>
              <w:jc w:val="left"/>
            </w:pPr>
            <w:r>
              <w:rPr>
                <w:rFonts w:ascii="Arial" w:cs="Arial" w:eastAsia="Arial" w:hAnsi="Arial"/>
                <w:sz w:val="24"/>
                <w:szCs w:val="24"/>
              </w:rPr>
              <w:t xml:space="preserve">- в электронной форме - 15 минут</w:t>
            </w:r>
          </w:p>
          <w:p>
            <w:pPr>
              <w:jc w:val="left"/>
            </w:pPr>
            <w:r>
              <w:rPr>
                <w:rFonts w:ascii="Arial" w:cs="Arial" w:eastAsia="Arial" w:hAnsi="Arial"/>
                <w:sz w:val="24"/>
                <w:szCs w:val="24"/>
              </w:rPr>
              <w:t xml:space="preserve">с момента поступления заявления </w:t>
            </w:r>
          </w:p>
        </w:tc>
        <w:tc>
          <w:tcPr>
            <w:vMerge w:val="continue"/>
            <w:tcBorders>
              <w:top w:val="none" w:color="auto" w:sz="0"/>
              <w:left w:val="none" w:color="auto" w:sz="0"/>
              <w:bottom w:val="single" w:color="CBBF9E" w:sz="4"/>
              <w:right w:val="single" w:color="CBBF9E" w:sz="4"/>
            </w:tcBorders>
          </w:tcPr>
          <w:p/>
        </w:tc>
        <w:tc>
          <w:tcPr>
            <w:tcW w:type="dxa" w:w="26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Уведомление о приеме заявления к рассмотрению </w:t>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 регистрация заявления в журнале входящих документов;</w:t>
            </w:r>
          </w:p>
          <w:p>
            <w:pPr>
              <w:jc w:val="both"/>
            </w:pPr>
            <w:r>
              <w:rPr>
                <w:rFonts w:ascii="Arial" w:cs="Arial" w:eastAsia="Arial" w:hAnsi="Arial"/>
                <w:sz w:val="24"/>
                <w:szCs w:val="24"/>
              </w:rPr>
              <w:t xml:space="preserve">- уведомление о приеме заявления к рассмотрению</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w:t>
            </w:r>
          </w:p>
          <w:p>
            <w:pPr>
              <w:jc w:val="left"/>
            </w:pPr>
            <w:r>
              <w:rPr>
                <w:rFonts w:ascii="Arial" w:cs="Arial" w:eastAsia="Arial" w:hAnsi="Arial"/>
                <w:sz w:val="24"/>
                <w:szCs w:val="24"/>
              </w:rPr>
              <w:t xml:space="preserve">- при личном обращении – незамедлительно;</w:t>
            </w:r>
          </w:p>
          <w:p>
            <w:pPr>
              <w:jc w:val="left"/>
            </w:pPr>
            <w:r>
              <w:rPr>
                <w:rFonts w:ascii="Arial" w:cs="Arial" w:eastAsia="Arial" w:hAnsi="Arial"/>
                <w:sz w:val="24"/>
                <w:szCs w:val="24"/>
              </w:rPr>
              <w:t xml:space="preserve">- в электронной форме посредством ГПЭУ – 20 минут</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80"/>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2. Прием и оформление оплаты </w:t>
            </w:r>
          </w:p>
        </w:tc>
      </w:tr>
      <w:tr>
        <w:tc>
          <w:tcPr>
            <w:tcW w:type="dxa" w:w="1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Проверка поступления денежных средств, запись в журнале платных услуг.</w:t>
            </w:r>
          </w:p>
        </w:tc>
        <w:tc>
          <w:tcPr>
            <w:tcW w:type="dxa" w:w="23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12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минут</w:t>
            </w:r>
          </w:p>
          <w:p>
            <w:pPr>
              <w:jc w:val="left"/>
            </w:pPr>
            <w:r>
              <w:rPr>
                <w:rFonts w:ascii="Arial" w:cs="Arial" w:eastAsia="Arial" w:hAnsi="Arial"/>
                <w:sz w:val="24"/>
                <w:szCs w:val="24"/>
              </w:rPr>
              <w:t xml:space="preserve"/>
            </w:r>
          </w:p>
        </w:tc>
        <w:tc>
          <w:tcPr>
            <w:tcW w:type="dxa" w:w="354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ГУИЦ;</w:t>
            </w:r>
          </w:p>
          <w:p>
            <w:pPr>
              <w:jc w:val="both"/>
            </w:pPr>
            <w:r>
              <w:rPr>
                <w:rFonts w:ascii="Arial" w:cs="Arial" w:eastAsia="Arial" w:hAnsi="Arial"/>
                <w:sz w:val="24"/>
                <w:szCs w:val="24"/>
              </w:rPr>
              <w:t xml:space="preserve">Положения об отделах ГУИЦ</w:t>
            </w:r>
          </w:p>
          <w:p>
            <w:pPr>
              <w:jc w:val="both"/>
            </w:pPr>
            <w:r>
              <w:rPr>
                <w:rFonts w:ascii="Arial" w:cs="Arial" w:eastAsia="Arial" w:hAnsi="Arial"/>
                <w:sz w:val="24"/>
                <w:szCs w:val="24"/>
              </w:rPr>
              <w:t xml:space="preserve"/>
            </w:r>
          </w:p>
        </w:tc>
        <w:tc>
          <w:tcPr>
            <w:tcW w:type="dxa" w:w="13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документа об оплате, регистрация</w:t>
            </w:r>
          </w:p>
        </w:tc>
      </w:tr>
      <w:tr>
        <w:tc>
          <w:tcPr>
            <w:tcW w:type="dxa" w:w="16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 При отсутствии подтверждения документа об оплате в течение 3-х часов, потребителю направляется уведомление об отказе в предоставлении услуги.</w:t>
            </w:r>
          </w:p>
        </w:tc>
        <w:tc>
          <w:tcPr>
            <w:tcW w:type="dxa" w:w="23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12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минут</w:t>
            </w:r>
          </w:p>
        </w:tc>
        <w:tc>
          <w:tcPr>
            <w:gridSpan w:val="3"/>
            <w:vMerge w:val="continue"/>
            <w:tcBorders>
              <w:top w:val="none" w:color="auto" w:sz="0"/>
              <w:left w:val="none" w:color="auto" w:sz="0"/>
              <w:bottom w:val="single" w:color="CBBF9E" w:sz="4"/>
              <w:right w:val="single" w:color="CBBF9E" w:sz="4"/>
            </w:tcBorders>
          </w:tcPr>
          <w:p/>
        </w:tc>
        <w:tc>
          <w:tcPr>
            <w:tcW w:type="dxa" w:w="13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Уведомление об отказе в предоставлении услуги</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w:t>
            </w:r>
          </w:p>
          <w:p>
            <w:pPr>
              <w:jc w:val="both"/>
            </w:pPr>
            <w:r>
              <w:rPr>
                <w:rFonts w:ascii="Arial" w:cs="Arial" w:eastAsia="Arial" w:hAnsi="Arial"/>
                <w:sz w:val="24"/>
                <w:szCs w:val="24"/>
              </w:rPr>
              <w:t xml:space="preserve">а) документ об оплате, запись в журнале входящих документов;</w:t>
            </w:r>
          </w:p>
          <w:p>
            <w:pPr>
              <w:jc w:val="left"/>
            </w:pPr>
            <w:r>
              <w:rPr>
                <w:rFonts w:ascii="Arial" w:cs="Arial" w:eastAsia="Arial" w:hAnsi="Arial"/>
                <w:sz w:val="24"/>
                <w:szCs w:val="24"/>
              </w:rPr>
              <w:t xml:space="preserve">б) отказ в предоставлении услуги, в связи с отсутствием документа об оплате.</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 25 минут</w:t>
            </w:r>
          </w:p>
          <w:p>
            <w:pPr>
              <w:jc w:val="left"/>
            </w:pPr>
            <w:r>
              <w:rPr>
                <w:rFonts w:ascii="Arial" w:cs="Arial" w:eastAsia="Arial" w:hAnsi="Arial"/>
                <w:sz w:val="24"/>
                <w:szCs w:val="24"/>
              </w:rPr>
              <w:t xml:space="preserve">При безналичной форме оплаты продолжительность действия зависит от предоставления документа о перечислении денежных средств.</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80"/>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3. Поиск материалов по теме выставки</w:t>
            </w:r>
          </w:p>
        </w:tc>
      </w:tr>
      <w:tr>
        <w:tc>
          <w:tcPr>
            <w:tcW w:type="dxa" w:w="3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Определить тему выставки. Провести поиск источников по справочно-библиографическому аппарату и другим информационным  ресурсам библиотеки. Оформить материалы по теме выставки согласно установленным требованиям</w:t>
            </w:r>
          </w:p>
        </w:tc>
        <w:tc>
          <w:tcPr>
            <w:tcW w:type="dxa" w:w="132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1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мин.</w:t>
            </w:r>
          </w:p>
        </w:tc>
        <w:tc>
          <w:tcPr>
            <w:tcW w:type="dxa" w:w="160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ГУИЦ;</w:t>
            </w:r>
          </w:p>
          <w:p>
            <w:pPr>
              <w:jc w:val="both"/>
            </w:pPr>
            <w:r>
              <w:rPr>
                <w:rFonts w:ascii="Arial" w:cs="Arial" w:eastAsia="Arial" w:hAnsi="Arial"/>
                <w:sz w:val="24"/>
                <w:szCs w:val="24"/>
              </w:rPr>
              <w:t xml:space="preserve">Положения об отделах ГУИЦ</w:t>
            </w:r>
          </w:p>
        </w:tc>
        <w:tc>
          <w:tcPr>
            <w:tcW w:type="dxa" w:w="26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Тема выставки. Список материалов</w:t>
            </w:r>
          </w:p>
        </w:tc>
      </w:tr>
      <w:tr>
        <w:tc>
          <w:tcPr>
            <w:tcW w:type="dxa" w:w="3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Разработать структуру выставки.</w:t>
            </w:r>
          </w:p>
          <w:p>
            <w:pPr>
              <w:jc w:val="left"/>
            </w:pPr>
            <w:r>
              <w:rPr>
                <w:rFonts w:ascii="Arial" w:cs="Arial" w:eastAsia="Arial" w:hAnsi="Arial"/>
                <w:sz w:val="24"/>
                <w:szCs w:val="24"/>
              </w:rPr>
              <w:t xml:space="preserve">Подборка цитат, иллюстраций и распечатка</w:t>
            </w:r>
          </w:p>
        </w:tc>
        <w:tc>
          <w:tcPr>
            <w:gridSpan w:val="2"/>
            <w:vMerge w:val="continue"/>
            <w:tcBorders>
              <w:top w:val="none" w:color="auto" w:sz="0"/>
              <w:left w:val="none" w:color="auto" w:sz="0"/>
              <w:bottom w:val="single" w:color="CBBF9E" w:sz="4"/>
              <w:right w:val="single" w:color="CBBF9E" w:sz="4"/>
            </w:tcBorders>
          </w:tcPr>
          <w:p/>
        </w:tc>
        <w:tc>
          <w:tcPr>
            <w:tcW w:type="dxa" w:w="1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мин.</w:t>
            </w:r>
          </w:p>
        </w:tc>
        <w:tc>
          <w:tcPr>
            <w:vMerge w:val="continue"/>
            <w:tcBorders>
              <w:top w:val="none" w:color="auto" w:sz="0"/>
              <w:left w:val="none" w:color="auto" w:sz="0"/>
              <w:bottom w:val="single" w:color="CBBF9E" w:sz="4"/>
              <w:right w:val="single" w:color="CBBF9E" w:sz="4"/>
            </w:tcBorders>
          </w:tcPr>
          <w:p/>
        </w:tc>
        <w:tc>
          <w:tcPr>
            <w:tcW w:type="dxa" w:w="26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структура выставки, демонстрация материалов</w:t>
            </w:r>
          </w:p>
        </w:tc>
      </w:tr>
      <w:tr>
        <w:tc>
          <w:tcPr>
            <w:tcW w:type="dxa" w:w="3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В случае отсутствия материалов по запрашиваемой тематике выставки, то необходимо уведомить </w:t>
            </w:r>
            <w:r>
              <w:rPr>
                <w:rFonts w:ascii="Arial" w:cs="Arial" w:eastAsia="Arial" w:hAnsi="Arial"/>
                <w:sz w:val="24"/>
                <w:szCs w:val="24"/>
              </w:rPr>
              <w:t xml:space="preserve">потребителя</w:t>
            </w:r>
            <w:r>
              <w:rPr>
                <w:rFonts w:ascii="Arial" w:cs="Arial" w:eastAsia="Arial" w:hAnsi="Arial"/>
                <w:sz w:val="24"/>
                <w:szCs w:val="24"/>
              </w:rPr>
              <w:t xml:space="preserve"> об отказе в предоставлении услуги согласно поступившей форме запроса</w:t>
            </w:r>
          </w:p>
        </w:tc>
        <w:tc>
          <w:tcPr>
            <w:gridSpan w:val="2"/>
            <w:vMerge w:val="continue"/>
            <w:tcBorders>
              <w:top w:val="none" w:color="auto" w:sz="0"/>
              <w:left w:val="none" w:color="auto" w:sz="0"/>
              <w:bottom w:val="single" w:color="CBBF9E" w:sz="4"/>
              <w:right w:val="single" w:color="CBBF9E" w:sz="4"/>
            </w:tcBorders>
          </w:tcPr>
          <w:p/>
        </w:tc>
        <w:tc>
          <w:tcPr>
            <w:tcW w:type="dxa" w:w="1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 по мере готовности информации;</w:t>
            </w:r>
          </w:p>
          <w:p>
            <w:pPr>
              <w:jc w:val="left"/>
            </w:pPr>
            <w:r>
              <w:rPr>
                <w:rFonts w:ascii="Arial" w:cs="Arial" w:eastAsia="Arial" w:hAnsi="Arial"/>
                <w:sz w:val="24"/>
                <w:szCs w:val="24"/>
              </w:rPr>
              <w:t xml:space="preserve">- в электронной форме – 5 мин.</w:t>
            </w:r>
          </w:p>
        </w:tc>
        <w:tc>
          <w:tcPr>
            <w:vMerge w:val="continue"/>
            <w:tcBorders>
              <w:top w:val="none" w:color="auto" w:sz="0"/>
              <w:left w:val="none" w:color="auto" w:sz="0"/>
              <w:bottom w:val="single" w:color="CBBF9E" w:sz="4"/>
              <w:right w:val="single" w:color="CBBF9E" w:sz="4"/>
            </w:tcBorders>
          </w:tcPr>
          <w:p/>
        </w:tc>
        <w:tc>
          <w:tcPr>
            <w:tcW w:type="dxa" w:w="26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w:t>
            </w:r>
          </w:p>
        </w:tc>
      </w:tr>
      <w:tr>
        <w:tc>
          <w:tcPr>
            <w:tcW w:type="dxa" w:w="3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 Упаковать материалы для экспозиции</w:t>
            </w:r>
          </w:p>
        </w:tc>
        <w:tc>
          <w:tcPr>
            <w:gridSpan w:val="2"/>
            <w:vMerge w:val="continue"/>
            <w:tcBorders>
              <w:top w:val="none" w:color="auto" w:sz="0"/>
              <w:left w:val="none" w:color="auto" w:sz="0"/>
              <w:bottom w:val="single" w:color="CBBF9E" w:sz="4"/>
              <w:right w:val="single" w:color="CBBF9E" w:sz="4"/>
            </w:tcBorders>
          </w:tcPr>
          <w:p/>
        </w:tc>
        <w:tc>
          <w:tcPr>
            <w:tcW w:type="dxa" w:w="1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мин. </w:t>
            </w:r>
          </w:p>
        </w:tc>
        <w:tc>
          <w:tcPr>
            <w:vMerge w:val="continue"/>
            <w:tcBorders>
              <w:top w:val="none" w:color="auto" w:sz="0"/>
              <w:left w:val="none" w:color="auto" w:sz="0"/>
              <w:bottom w:val="single" w:color="CBBF9E" w:sz="4"/>
              <w:right w:val="single" w:color="CBBF9E" w:sz="4"/>
            </w:tcBorders>
          </w:tcPr>
          <w:p/>
        </w:tc>
        <w:tc>
          <w:tcPr>
            <w:tcW w:type="dxa" w:w="26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Упакованные материалы выставки</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w:t>
            </w:r>
          </w:p>
          <w:p>
            <w:pPr>
              <w:jc w:val="left"/>
            </w:pPr>
            <w:r>
              <w:rPr>
                <w:rFonts w:ascii="Arial" w:cs="Arial" w:eastAsia="Arial" w:hAnsi="Arial"/>
                <w:sz w:val="24"/>
                <w:szCs w:val="24"/>
              </w:rPr>
              <w:t xml:space="preserve">- подготовленные материалы выставки для экспозиции;</w:t>
            </w:r>
          </w:p>
          <w:p>
            <w:pPr>
              <w:jc w:val="left"/>
            </w:pPr>
            <w:r>
              <w:rPr>
                <w:rFonts w:ascii="Arial" w:cs="Arial" w:eastAsia="Arial" w:hAnsi="Arial"/>
                <w:sz w:val="24"/>
                <w:szCs w:val="24"/>
              </w:rPr>
              <w:t xml:space="preserve">- отказ в предоставлении услуги</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 1 час 45 минут </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80"/>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4. Экспозиция выставки</w:t>
            </w:r>
          </w:p>
        </w:tc>
      </w:tr>
      <w:tr>
        <w:tc>
          <w:tcPr>
            <w:tcW w:type="dxa" w:w="33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 Осуществляет доставку упакованных  материалов выставки к месту проведения.</w:t>
            </w:r>
          </w:p>
          <w:p>
            <w:pPr>
              <w:jc w:val="both"/>
            </w:pPr>
            <w:r>
              <w:rPr>
                <w:rFonts w:ascii="Arial" w:cs="Arial" w:eastAsia="Arial" w:hAnsi="Arial"/>
                <w:sz w:val="24"/>
                <w:szCs w:val="24"/>
              </w:rPr>
              <w:t xml:space="preserve">При передаче и приема материалов выставки фиксирует их количество </w:t>
            </w:r>
          </w:p>
        </w:tc>
        <w:tc>
          <w:tcPr>
            <w:tcW w:type="dxa" w:w="132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1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час</w:t>
            </w:r>
          </w:p>
        </w:tc>
        <w:tc>
          <w:tcPr>
            <w:tcW w:type="dxa" w:w="160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ГУИЦ;</w:t>
            </w:r>
          </w:p>
          <w:p>
            <w:pPr>
              <w:jc w:val="both"/>
            </w:pPr>
            <w:r>
              <w:rPr>
                <w:rFonts w:ascii="Arial" w:cs="Arial" w:eastAsia="Arial" w:hAnsi="Arial"/>
                <w:sz w:val="24"/>
                <w:szCs w:val="24"/>
              </w:rPr>
              <w:t xml:space="preserve">Положения об отделах ГУИЦ</w:t>
            </w:r>
          </w:p>
        </w:tc>
        <w:tc>
          <w:tcPr>
            <w:tcW w:type="dxa" w:w="26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материалами выставки и возврат </w:t>
            </w:r>
          </w:p>
        </w:tc>
      </w:tr>
      <w:tr>
        <w:tc>
          <w:tcPr>
            <w:tcW w:type="dxa" w:w="33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 Распаковывает и  оформляет материалы выставки в соответствии с разработанной структурой.</w:t>
            </w:r>
          </w:p>
          <w:p>
            <w:pPr>
              <w:jc w:val="both"/>
            </w:pPr>
            <w:r>
              <w:rPr>
                <w:rFonts w:ascii="Arial" w:cs="Arial" w:eastAsia="Arial" w:hAnsi="Arial"/>
                <w:sz w:val="24"/>
                <w:szCs w:val="24"/>
              </w:rPr>
              <w:t xml:space="preserve">Предельное время предоставления выставочных материалов - до 8 часов </w:t>
            </w:r>
          </w:p>
        </w:tc>
        <w:tc>
          <w:tcPr>
            <w:gridSpan w:val="2"/>
            <w:vMerge w:val="continue"/>
            <w:tcBorders>
              <w:top w:val="none" w:color="auto" w:sz="0"/>
              <w:left w:val="none" w:color="auto" w:sz="0"/>
              <w:bottom w:val="single" w:color="CBBF9E" w:sz="4"/>
              <w:right w:val="single" w:color="CBBF9E" w:sz="4"/>
            </w:tcBorders>
          </w:tcPr>
          <w:p/>
        </w:tc>
        <w:tc>
          <w:tcPr>
            <w:tcW w:type="dxa" w:w="1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мин</w:t>
            </w:r>
          </w:p>
        </w:tc>
        <w:tc>
          <w:tcPr>
            <w:vMerge w:val="continue"/>
            <w:tcBorders>
              <w:top w:val="none" w:color="auto" w:sz="0"/>
              <w:left w:val="none" w:color="auto" w:sz="0"/>
              <w:bottom w:val="single" w:color="CBBF9E" w:sz="4"/>
              <w:right w:val="single" w:color="CBBF9E" w:sz="4"/>
            </w:tcBorders>
          </w:tcPr>
          <w:p/>
        </w:tc>
        <w:tc>
          <w:tcPr>
            <w:tcW w:type="dxa" w:w="26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выставки</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Выставка научно-технической литературы</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час 30 мин.</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6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38"/>
        <w:gridCol w:w="2740"/>
      </w:tblGrid>
      <w:tr>
        <w:tc>
          <w:tcPr>
            <w:tcW w:type="dxa" w:w="74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параметра услуги</w:t>
            </w:r>
          </w:p>
        </w:tc>
        <w:tc>
          <w:tcPr>
            <w:tcW w:type="dxa" w:w="2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Числовые данные</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процедур,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административных процедур;</w:t>
            </w:r>
          </w:p>
          <w:p>
            <w:pPr>
              <w:jc w:val="left"/>
            </w:pPr>
            <w:r>
              <w:rPr>
                <w:rFonts w:ascii="Arial" w:cs="Arial" w:eastAsia="Arial" w:hAnsi="Arial"/>
                <w:sz w:val="24"/>
                <w:szCs w:val="24"/>
              </w:rPr>
              <w:t xml:space="preserve">- организационно-управленческих процедур;</w:t>
            </w:r>
          </w:p>
          <w:p>
            <w:pPr>
              <w:jc w:val="left"/>
            </w:pPr>
            <w:r>
              <w:rPr>
                <w:rFonts w:ascii="Arial" w:cs="Arial" w:eastAsia="Arial" w:hAnsi="Arial"/>
                <w:sz w:val="24"/>
                <w:szCs w:val="24"/>
              </w:rPr>
              <w:t xml:space="preserve">- вспомогательных процедур;</w:t>
            </w:r>
          </w:p>
          <w:p>
            <w:pPr>
              <w:jc w:val="left"/>
            </w:pPr>
            <w:r>
              <w:rPr>
                <w:rFonts w:ascii="Arial" w:cs="Arial" w:eastAsia="Arial" w:hAnsi="Arial"/>
                <w:sz w:val="24"/>
                <w:szCs w:val="24"/>
              </w:rPr>
              <w:t xml:space="preserve">- специальных процедур</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Общая продолжительность процедур (минуты, часы, дни)</w:t>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jc w:val="both"/>
            </w:pPr>
            <w:r>
              <w:rPr>
                <w:rFonts w:ascii="Arial" w:cs="Arial" w:eastAsia="Arial" w:hAnsi="Arial"/>
                <w:sz w:val="24"/>
                <w:szCs w:val="24"/>
              </w:rPr>
              <w:t xml:space="preserve">Уведомление о приеме заявления к рассмотрению – до 20 минут с момента поступления заявления. </w:t>
            </w:r>
          </w:p>
          <w:p>
            <w:pPr>
              <w:jc w:val="both"/>
            </w:pPr>
            <w:r>
              <w:rPr>
                <w:rFonts w:ascii="Arial" w:cs="Arial" w:eastAsia="Arial" w:hAnsi="Arial"/>
                <w:sz w:val="24"/>
                <w:szCs w:val="24"/>
              </w:rPr>
              <w:t xml:space="preserve">Общий срок предоставления услуги - до 4-х часов.</w:t>
            </w:r>
          </w:p>
          <w:p>
            <w:pPr>
              <w:jc w:val="both"/>
            </w:pPr>
            <w:r>
              <w:rPr>
                <w:rFonts w:ascii="Arial" w:cs="Arial" w:eastAsia="Arial" w:hAnsi="Arial"/>
                <w:sz w:val="24"/>
                <w:szCs w:val="24"/>
              </w:rPr>
              <w:t xml:space="preserve">Предельное время предоставления выставочных материалов - до 8 часов</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Число процедур, выполняемых в электронном формате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Число документов, запрашиваемых у потребителя</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Число сторонних организаций, участвующих в производстве услуги,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во внутриведомственном взаимодействии;</w:t>
            </w:r>
          </w:p>
          <w:p>
            <w:pPr>
              <w:jc w:val="left"/>
            </w:pPr>
            <w:r>
              <w:rPr>
                <w:rFonts w:ascii="Arial" w:cs="Arial" w:eastAsia="Arial" w:hAnsi="Arial"/>
                <w:sz w:val="24"/>
                <w:szCs w:val="24"/>
              </w:rPr>
              <w:t xml:space="preserve">- в межведомственном взаимодействии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Число лиц, участвующих в производстве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Число документов, регулирующих производство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Другое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Схема (алгоритм) выполнения процедур 1, 2, 3, 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За исполнением требований административного регламента проводится внутренний (текущий) и внешний контроль.</w:t>
      </w:r>
    </w:p>
    <w:p>
      <w:pPr>
        <w:spacing w:after="120"/>
        <w:ind w:firstLine="567"/>
        <w:jc w:val="both"/>
      </w:pPr>
      <w:r>
        <w:rPr>
          <w:rFonts w:ascii="Arial" w:cs="Arial" w:eastAsia="Arial" w:hAnsi="Arial"/>
          <w:sz w:val="24"/>
          <w:szCs w:val="24"/>
        </w:rPr>
        <w:t xml:space="preserve">Внутренний контроль проводит директор Государственного учреждения “Инновационный центр” при Кыргызпатенте.</w:t>
      </w:r>
    </w:p>
    <w:p>
      <w:pPr>
        <w:spacing w:after="120"/>
        <w:ind w:firstLine="567"/>
        <w:jc w:val="both"/>
      </w:pPr>
      <w:r>
        <w:rPr>
          <w:rFonts w:ascii="Arial" w:cs="Arial" w:eastAsia="Arial" w:hAnsi="Arial"/>
          <w:sz w:val="24"/>
          <w:szCs w:val="24"/>
        </w:rPr>
        <w:t xml:space="preserve">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567"/>
        <w:jc w:val="both"/>
      </w:pPr>
      <w:r>
        <w:rPr>
          <w:rFonts w:ascii="Arial" w:cs="Arial" w:eastAsia="Arial" w:hAnsi="Arial"/>
          <w:sz w:val="24"/>
          <w:szCs w:val="24"/>
        </w:rPr>
        <w:t xml:space="preserve">Периодичность проведения проверок составляет один раз в три  года. Внеплановые проверки проводятся по заявлению потребителей услуги.</w:t>
      </w:r>
    </w:p>
    <w:p>
      <w:pPr>
        <w:spacing w:after="120"/>
        <w:ind w:firstLine="567"/>
        <w:jc w:val="both"/>
      </w:pPr>
      <w:r>
        <w:rPr>
          <w:rFonts w:ascii="Arial" w:cs="Arial" w:eastAsia="Arial" w:hAnsi="Arial"/>
          <w:sz w:val="24"/>
          <w:szCs w:val="24"/>
        </w:rPr>
        <w:t xml:space="preserve">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административным и трудовым законодательством Кыргызской Республики.</w:t>
      </w:r>
    </w:p>
    <w:p>
      <w:pPr>
        <w:spacing w:after="120"/>
        <w:ind w:firstLine="709"/>
        <w:jc w:val="both"/>
      </w:pPr>
      <w:r>
        <w:rPr>
          <w:rFonts w:ascii="Arial" w:cs="Arial" w:eastAsia="Arial" w:hAnsi="Arial"/>
          <w:sz w:val="24"/>
          <w:szCs w:val="24"/>
        </w:rPr>
        <w:t xml:space="preserve">6. Внешний контроль за исполнением требований административного регламента услуги осуществляется комиссией, образуемой решением Кыргызпатента, не реже одного раза в 3 года.</w:t>
      </w:r>
    </w:p>
    <w:p>
      <w:pPr>
        <w:spacing w:after="120"/>
        <w:ind w:firstLine="567"/>
        <w:jc w:val="both"/>
      </w:pPr>
      <w:r>
        <w:rPr>
          <w:rFonts w:ascii="Arial" w:cs="Arial" w:eastAsia="Arial" w:hAnsi="Arial"/>
          <w:sz w:val="24"/>
          <w:szCs w:val="24"/>
        </w:rPr>
        <w:t xml:space="preserve">Результаты работы комиссии оформляются в виде справки, в которую могут быть внесены предложения по изменению административного регламента. В течение 3 рабочих дней с момента подписания справки направляется в ГУИЦ.</w:t>
      </w:r>
    </w:p>
    <w:p>
      <w:pPr>
        <w:spacing w:after="120"/>
        <w:ind w:firstLine="567"/>
        <w:jc w:val="both"/>
      </w:pPr>
      <w:r>
        <w:rPr>
          <w:rFonts w:ascii="Arial" w:cs="Arial" w:eastAsia="Arial" w:hAnsi="Arial"/>
          <w:sz w:val="24"/>
          <w:szCs w:val="24"/>
        </w:rPr>
        <w:t xml:space="preserve">ГУИЦ в месячный срок с даты поступления справки принимает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12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 За нарушение требований административного регламента должностные лица и сотрудники ГУИЦ несут ответственность в соответствии с административным 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8.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before="200"/>
        <w:jc w:val="center"/>
      </w:pPr>
      <w:r>
        <w:rPr>
          <w:rFonts w:ascii="Arial" w:cs="Arial" w:eastAsia="Arial" w:hAnsi="Arial"/>
          <w:b/>
          <w:bCs/>
          <w:sz w:val="32"/>
          <w:szCs w:val="32"/>
        </w:rPr>
        <w:t xml:space="preserve">8. Заключительные положения</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 Административный регламент услуги согласован с подведомственными организациями, с которыми осуществляется взаимодействие в целях предоставления данной услуги конечному потребителю.</w:t>
      </w:r>
    </w:p>
    <w:p>
      <w:pPr>
        <w:spacing w:after="12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ind w:firstLine="567"/>
        <w:jc w:val="both"/>
      </w:pPr>
      <w:r>
        <w:rPr>
          <w:rFonts w:ascii="Arial" w:cs="Arial" w:eastAsia="Arial" w:hAnsi="Arial"/>
          <w:sz w:val="24"/>
          <w:szCs w:val="24"/>
        </w:rPr>
        <w:t xml:space="preserve">11. Данный административный регламент государственной услуги инициирован Кыргызпатентом на основании постановления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after="120"/>
        <w:jc w:val="both"/>
      </w:pPr>
      <w:r>
        <w:rPr>
          <w:rFonts w:ascii="Arial" w:cs="Arial" w:eastAsia="Arial" w:hAnsi="Arial"/>
          <w:sz w:val="24"/>
          <w:szCs w:val="24"/>
        </w:rPr>
        <w:t xml:space="preserve">9. Разработчики административного регламента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Алымбаева А. Ж.</w:t>
      </w:r>
    </w:p>
    <w:p>
      <w:pPr>
        <w:spacing w:after="120"/>
        <w:ind w:firstLine="567"/>
        <w:jc w:val="both"/>
      </w:pPr>
      <w:r>
        <w:rPr>
          <w:rFonts w:ascii="Arial" w:cs="Arial" w:eastAsia="Arial" w:hAnsi="Arial"/>
          <w:sz w:val="24"/>
          <w:szCs w:val="24"/>
        </w:rPr>
        <w:t xml:space="preserve">главный специалист отдела </w:t>
      </w:r>
    </w:p>
    <w:p>
      <w:pPr>
        <w:spacing w:after="120"/>
        <w:ind w:firstLine="567"/>
        <w:jc w:val="both"/>
      </w:pPr>
      <w:r>
        <w:rPr>
          <w:rFonts w:ascii="Arial" w:cs="Arial" w:eastAsia="Arial" w:hAnsi="Arial"/>
          <w:sz w:val="24"/>
          <w:szCs w:val="24"/>
        </w:rPr>
        <w:t xml:space="preserve">организационной работы и стратегии                               _______________________</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bpbzakir17znm5dd9rm8">
      <w:r>
        <w:rPr>
          <w:rFonts w:ascii="Arial" w:cs="Arial" w:eastAsia="Arial" w:hAnsi="Arial"/>
          <w:color w:val="132D3F"/>
          <w:sz w:val="16"/>
          <w:szCs w:val="16"/>
          <w:u w:val="single"/>
        </w:rPr>
        <w:t xml:space="preserve">dalil.kg/document/200698</w:t>
      </w:r>
    </w:hyperlink>
  </w:p>
  <w:p>
    <w:pPr>
      <w:spacing w:after="0" w:before="40"/>
      <w:jc w:val="center"/>
    </w:pPr>
    <w:hyperlink w:history="1" r:id="rId9g5v96nsfhtjiog38fsx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bpbzakir17znm5dd9rm8" Type="http://schemas.openxmlformats.org/officeDocument/2006/relationships/hyperlink" Target="https://dalil.kg/document/200698" TargetMode="External"/><Relationship Id="rId9g5v96nsfhtjiog38fsx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2026-09-29T09:52:19.544Z</dcterms:created>
  <dcterms:modified xsi:type="dcterms:W3CDTF">2026-09-29T09:52:19.544Z</dcterms:modified>
</cp:coreProperties>
</file>

<file path=docProps/custom.xml><?xml version="1.0" encoding="utf-8"?>
<Properties xmlns="http://schemas.openxmlformats.org/officeDocument/2006/custom-properties" xmlns:vt="http://schemas.openxmlformats.org/officeDocument/2006/docPropsVTypes"/>
</file>