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obwfvjcdtqymlt1a8zt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экономики и коммерции</w:t>
      </w:r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“03” февраля 2023 года № 14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расчета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ндекса развития региона для экономического прогнозирования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</w:t>
      </w:r>
      <w:r>
        <w:rPr>
          <w:rFonts w:ascii="Arial" w:cs="Arial" w:eastAsia="Arial" w:hAnsi="Arial"/>
          <w:sz w:val="24"/>
          <w:szCs w:val="24"/>
        </w:rPr>
        <w:t xml:space="preserve">устанавливает</w:t>
      </w:r>
      <w:r>
        <w:rPr>
          <w:rFonts w:ascii="Arial" w:cs="Arial" w:eastAsia="Arial" w:hAnsi="Arial"/>
          <w:sz w:val="24"/>
          <w:szCs w:val="24"/>
        </w:rPr>
        <w:t xml:space="preserve"> порядок</w:t>
      </w:r>
      <w:r>
        <w:rPr>
          <w:rFonts w:ascii="Arial" w:cs="Arial" w:eastAsia="Arial" w:hAnsi="Arial"/>
          <w:sz w:val="24"/>
          <w:szCs w:val="24"/>
        </w:rPr>
        <w:t xml:space="preserve"> оценки степени реализации национальной программы развития Кыргызской Республики до 2026 года и </w:t>
      </w:r>
      <w:r>
        <w:rPr>
          <w:rFonts w:ascii="Arial" w:cs="Arial" w:eastAsia="Arial" w:hAnsi="Arial"/>
          <w:sz w:val="24"/>
          <w:szCs w:val="24"/>
        </w:rPr>
        <w:t xml:space="preserve">расчета Индекса развития региона и </w:t>
      </w:r>
      <w:r>
        <w:rPr>
          <w:rFonts w:ascii="Arial" w:cs="Arial" w:eastAsia="Arial" w:hAnsi="Arial"/>
          <w:sz w:val="24"/>
          <w:szCs w:val="24"/>
        </w:rPr>
        <w:t xml:space="preserve">построения рейтинга развития </w:t>
      </w:r>
      <w:r>
        <w:rPr>
          <w:rFonts w:ascii="Arial" w:cs="Arial" w:eastAsia="Arial" w:hAnsi="Arial"/>
          <w:sz w:val="24"/>
          <w:szCs w:val="24"/>
        </w:rPr>
        <w:t xml:space="preserve">областей, районов и городов Бишкек и Ош (далее – регионы).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Индекса развития региона является индикатором эффективности и прозрачности государственного управления в регионе и служит основой для выработки и реализации приоритетных задач, направленных на выравнивание дифференциации в развитии регионов.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оценки является социально-экономическое положение региона.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оценки является достижение положительных (отрицательных) темпов роста показателей социально-экономического развития региона за отчетный период.</w:t>
      </w:r>
      <w:r>
        <w:rPr>
          <w:rFonts w:ascii="Arial" w:cs="Arial" w:eastAsia="Arial" w:hAnsi="Arial"/>
          <w:sz w:val="24"/>
          <w:szCs w:val="24"/>
        </w:rPr>
        <w:t xml:space="preserve"> Целью методики является оценка эффективности экономического прогнозирования развития регионов.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расчета Индекса развития региона и построение рейтинга осуществляется на ежегодной основе.</w:t>
      </w:r>
      <w:r>
        <w:rPr>
          <w:rFonts w:ascii="Arial" w:cs="Arial" w:eastAsia="Arial" w:hAnsi="Arial"/>
          <w:sz w:val="24"/>
          <w:szCs w:val="24"/>
        </w:rPr>
        <w:t xml:space="preserve"> Результаты оценки и расчета индекса развития регионов являются основанием для проведения экономического прогнозирования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Индекса регионального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Основой </w:t>
      </w:r>
      <w:r>
        <w:rPr>
          <w:rFonts w:ascii="Arial" w:cs="Arial" w:eastAsia="Arial" w:hAnsi="Arial"/>
          <w:sz w:val="24"/>
          <w:szCs w:val="24"/>
        </w:rPr>
        <w:t xml:space="preserve">для формирования перечня показателей в приложении 2, подлежащих оценке, послужили ключевые показатели статистической и ведомственной отчетности, отражающие основные направления развития регионов, кроме того, показатели синхронизированы с рядом индикаторов, предусмотренных в национальных стратегических документах, в глобальном и национальном наборе показателей Целей устойчивого развития.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перечня показателей Индекса развития региона основан на следующих принципах: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комплексность – обеспечение учета важнейших составляющих уровня социально-экономического и финансового развития регионов;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значимость – предпочтение отдается обобщающим, а не составным показателям;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периодичность – фактические значения всех показателей должны находиться в одном временном отрезке (отчетный период);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полезность – достижение максимальной информативности результатов оценки уровня развития регионов с позиций принятия решений на национальном и региональном уровнях государственного управления.</w:t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Отобранные показатели сгруппированы по следующим основным направлениям (</w:t>
      </w:r>
      <w:hyperlink w:history="1" r:id="rIdicyono2dcl1apk0pb3p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перечня показателей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3"/>
        <w:gridCol w:w="2467"/>
        <w:gridCol w:w="7248"/>
      </w:tblGrid>
      <w:tr>
        <w:tc>
          <w:tcPr>
            <w:tcW w:type="dxa" w:w="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</w:t>
            </w:r>
          </w:p>
        </w:tc>
        <w:tc>
          <w:tcPr>
            <w:tcW w:type="dxa" w:w="7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и роль государственного управления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благополучие</w:t>
            </w:r>
          </w:p>
        </w:tc>
        <w:tc>
          <w:tcPr>
            <w:tcW w:type="dxa" w:w="7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благополучие населения региона и достойный уровень жизни является важнейшей задачей государственного управления в сфере социальной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рост и эффективность</w:t>
            </w:r>
          </w:p>
        </w:tc>
        <w:tc>
          <w:tcPr>
            <w:tcW w:type="dxa" w:w="7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ффективные инструменты государственного управления способствуют развитию инвестиционной среды, и последующему экономическому развитию региона.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деловой среды и финансового сектора</w:t>
            </w:r>
          </w:p>
        </w:tc>
        <w:tc>
          <w:tcPr>
            <w:tcW w:type="dxa" w:w="7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наращивания частных инвестиций и создание благоприятных рыночных возможностей в секторах экономики является приоритетной задачей государственной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бюджетной сферы</w:t>
            </w:r>
          </w:p>
        </w:tc>
        <w:tc>
          <w:tcPr>
            <w:tcW w:type="dxa" w:w="7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администрирование налоговых и неналоговых поступлений прямым образом влияет на создание благоприятных условий для жизнедеятельности местного сообщества.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</w:t>
            </w:r>
          </w:p>
        </w:tc>
        <w:tc>
          <w:tcPr>
            <w:tcW w:type="dxa" w:w="7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атмосферного воздуха, мероприятия по утилизации отходов производства и потребления, затраты на охрану окружающей среды являются базовыми показателями, позволяющими реагировать на изменение климата и принимать меры по охране окружающей среды.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</w:t>
            </w:r>
          </w:p>
        </w:tc>
        <w:tc>
          <w:tcPr>
            <w:tcW w:type="dxa" w:w="7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поставленных перед государственными органами задач по развитию инфраструктуры позволяет оценить динамику и результаты проводимой работы.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Этапы расчета Индекса развития региона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Индекса развития региона проводится следующим образом: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Первый этап.</w:t>
      </w:r>
      <w:r>
        <w:rPr>
          <w:rFonts w:ascii="Arial" w:cs="Arial" w:eastAsia="Arial" w:hAnsi="Arial"/>
          <w:sz w:val="24"/>
          <w:szCs w:val="24"/>
        </w:rPr>
        <w:t xml:space="preserve"> Производится расчет степени достижения плановых (прогнозных) значений показателей согласно столбцу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таблицы перечня показателей (</w:t>
      </w:r>
      <w:hyperlink w:history="1" r:id="rIddko2kwg1x9ezn4qvz6f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степени достижения плановых (прогнозных) значений показателей необходимо произвести расчет соотношения фактического значения показателя за отчетный период к плановому (прогнозному) значению показателя за отчетный период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значение показателя за отчетный год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плановое (прогнозное) значение показателя за </w:t>
      </w:r>
      <w:r>
        <w:rPr>
          <w:rFonts w:ascii="Arial" w:cs="Arial" w:eastAsia="Arial" w:hAnsi="Arial"/>
          <w:sz w:val="24"/>
          <w:szCs w:val="24"/>
        </w:rPr>
        <w:t xml:space="preserve">отчетный </w:t>
      </w:r>
      <w:r>
        <w:rPr>
          <w:rFonts w:ascii="Arial" w:cs="Arial" w:eastAsia="Arial" w:hAnsi="Arial"/>
          <w:sz w:val="24"/>
          <w:szCs w:val="24"/>
        </w:rPr>
        <w:t xml:space="preserve">период прошлого года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Второй этап.</w:t>
      </w:r>
      <w:r>
        <w:rPr>
          <w:rFonts w:ascii="Arial" w:cs="Arial" w:eastAsia="Arial" w:hAnsi="Arial"/>
          <w:sz w:val="24"/>
          <w:szCs w:val="24"/>
        </w:rPr>
        <w:t xml:space="preserve"> Необходимо для каждого полученного значения показателя рассчитать балльную оценку. Все показатели разбивают на 2 группы: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показатели группы «А»,</w:t>
      </w:r>
      <w:r>
        <w:rPr>
          <w:rFonts w:ascii="Arial" w:cs="Arial" w:eastAsia="Arial" w:hAnsi="Arial"/>
          <w:sz w:val="24"/>
          <w:szCs w:val="24"/>
        </w:rPr>
        <w:t xml:space="preserve"> увеличение значения которых отражает положительный результат. Для данной группы балльная оценка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 группы «Б»,</w:t>
      </w:r>
      <w:r>
        <w:rPr>
          <w:rFonts w:ascii="Arial" w:cs="Arial" w:eastAsia="Arial" w:hAnsi="Arial"/>
          <w:sz w:val="24"/>
          <w:szCs w:val="24"/>
        </w:rPr>
        <w:t xml:space="preserve"> снижение значения которых отражает положительный результат. Балльная оценка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, 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 – значение показателя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региона;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 – минимальное значение показателя среди регионов;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  – максимальное значение показателя среди регионов.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Третий этап.</w:t>
      </w:r>
      <w:r>
        <w:rPr>
          <w:rFonts w:ascii="Arial" w:cs="Arial" w:eastAsia="Arial" w:hAnsi="Arial"/>
          <w:sz w:val="24"/>
          <w:szCs w:val="24"/>
        </w:rPr>
        <w:t xml:space="preserve"> Производится расчет интегрального показателя региона по каждому направлению. Интегральный показатель рассчитывается как среднее арифметическое балльных оценок: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, 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направление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- номер направления;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показателей в направлении.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Четвертый этап.</w:t>
      </w:r>
      <w:r>
        <w:rPr>
          <w:rFonts w:ascii="Arial" w:cs="Arial" w:eastAsia="Arial" w:hAnsi="Arial"/>
          <w:sz w:val="24"/>
          <w:szCs w:val="24"/>
        </w:rPr>
        <w:t xml:space="preserve"> Производится расчет Индекса развития каждого региона (пример: рисунок 1).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Во-первых,</w:t>
      </w:r>
      <w:r>
        <w:rPr>
          <w:rFonts w:ascii="Arial" w:cs="Arial" w:eastAsia="Arial" w:hAnsi="Arial"/>
          <w:sz w:val="24"/>
          <w:szCs w:val="24"/>
        </w:rPr>
        <w:t xml:space="preserve"> необходимо рассчитать площади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треугольников (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направлений оценки). Максимальное возможная площадь </w:t>
      </w:r>
      <w:r>
        <w:rPr>
          <w:rFonts w:ascii="Arial" w:cs="Arial" w:eastAsia="Arial" w:hAnsi="Arial"/>
          <w:sz w:val="24"/>
          <w:szCs w:val="24"/>
        </w:rPr>
        <w:t xml:space="preserve">равностороннего шести</w:t>
      </w:r>
      <w:r>
        <w:rPr>
          <w:rFonts w:ascii="Arial" w:cs="Arial" w:eastAsia="Arial" w:hAnsi="Arial"/>
          <w:sz w:val="24"/>
          <w:szCs w:val="24"/>
        </w:rPr>
        <w:t xml:space="preserve">угольника – 0,</w:t>
      </w:r>
      <w:r>
        <w:rPr>
          <w:rFonts w:ascii="Arial" w:cs="Arial" w:eastAsia="Arial" w:hAnsi="Arial"/>
          <w:sz w:val="24"/>
          <w:szCs w:val="24"/>
        </w:rPr>
        <w:t xml:space="preserve">433</w:t>
      </w:r>
      <w:r>
        <w:rPr>
          <w:rFonts w:ascii="Arial" w:cs="Arial" w:eastAsia="Arial" w:hAnsi="Arial"/>
          <w:sz w:val="24"/>
          <w:szCs w:val="24"/>
        </w:rPr>
        <w:t xml:space="preserve">, так как максимальное значение стороны </w:t>
      </w:r>
      <w:r>
        <w:rPr>
          <w:rFonts w:ascii="Arial" w:cs="Arial" w:eastAsia="Arial" w:hAnsi="Arial"/>
          <w:sz w:val="24"/>
          <w:szCs w:val="24"/>
        </w:rPr>
        <w:t xml:space="preserve">шести</w:t>
      </w:r>
      <w:r>
        <w:rPr>
          <w:rFonts w:ascii="Arial" w:cs="Arial" w:eastAsia="Arial" w:hAnsi="Arial"/>
          <w:sz w:val="24"/>
          <w:szCs w:val="24"/>
        </w:rPr>
        <w:t xml:space="preserve">угольника –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где: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a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– стороны </w:t>
      </w:r>
      <w:r>
        <w:rPr>
          <w:rFonts w:ascii="Arial" w:cs="Arial" w:eastAsia="Arial" w:hAnsi="Arial"/>
          <w:sz w:val="24"/>
          <w:szCs w:val="24"/>
        </w:rPr>
        <w:t xml:space="preserve">шести</w:t>
      </w:r>
      <w:r>
        <w:rPr>
          <w:rFonts w:ascii="Arial" w:cs="Arial" w:eastAsia="Arial" w:hAnsi="Arial"/>
          <w:sz w:val="24"/>
          <w:szCs w:val="24"/>
        </w:rPr>
        <w:t xml:space="preserve">угольника или же значения направлений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угол между ними.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Во-вторых</w:t>
      </w:r>
      <w:r>
        <w:rPr>
          <w:rFonts w:ascii="Arial" w:cs="Arial" w:eastAsia="Arial" w:hAnsi="Arial"/>
          <w:sz w:val="24"/>
          <w:szCs w:val="24"/>
        </w:rPr>
        <w:t xml:space="preserve">, для расчета Индекса регионального развития производится сложение площадей всех </w:t>
      </w:r>
      <w:r>
        <w:rPr>
          <w:rFonts w:ascii="Arial" w:cs="Arial" w:eastAsia="Arial" w:hAnsi="Arial"/>
          <w:sz w:val="24"/>
          <w:szCs w:val="24"/>
        </w:rPr>
        <w:t xml:space="preserve">6 шести</w:t>
      </w:r>
      <w:r>
        <w:rPr>
          <w:rFonts w:ascii="Arial" w:cs="Arial" w:eastAsia="Arial" w:hAnsi="Arial"/>
          <w:sz w:val="24"/>
          <w:szCs w:val="24"/>
        </w:rPr>
        <w:t xml:space="preserve">угольников для получения совокупной площади, а полученный результат делится на максимально возможную площадь данных </w:t>
      </w:r>
      <w:r>
        <w:rPr>
          <w:rFonts w:ascii="Arial" w:cs="Arial" w:eastAsia="Arial" w:hAnsi="Arial"/>
          <w:sz w:val="24"/>
          <w:szCs w:val="24"/>
        </w:rPr>
        <w:t xml:space="preserve">шести</w:t>
      </w:r>
      <w:r>
        <w:rPr>
          <w:rFonts w:ascii="Arial" w:cs="Arial" w:eastAsia="Arial" w:hAnsi="Arial"/>
          <w:sz w:val="24"/>
          <w:szCs w:val="24"/>
        </w:rPr>
        <w:t xml:space="preserve">угольников.</w:t>
      </w:r>
    </w:p>
    <w:p>
      <w:pPr>
        <w:spacing w:after="120"/>
        <w:ind w:firstLine="99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,   </w:t>
      </w:r>
      <w:r>
        <w:rPr>
          <w:rFonts w:ascii="Arial" w:cs="Arial" w:eastAsia="Arial" w:hAnsi="Arial"/>
          <w:sz w:val="24"/>
          <w:szCs w:val="24"/>
        </w:rPr>
        <w:t xml:space="preserve"> ,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=2</w:t>
      </w:r>
      <w:r>
        <w:rPr>
          <w:rFonts w:ascii="Arial" w:cs="Arial" w:eastAsia="Arial" w:hAnsi="Arial"/>
          <w:sz w:val="24"/>
          <w:szCs w:val="24"/>
        </w:rPr>
        <w:t xml:space="preserve">,6 (6*</w:t>
      </w:r>
      <w:r>
        <w:rPr>
          <w:rFonts w:ascii="Arial" w:cs="Arial" w:eastAsia="Arial" w:hAnsi="Arial"/>
          <w:sz w:val="24"/>
          <w:szCs w:val="24"/>
        </w:rPr>
        <w:t xml:space="preserve">0,</w:t>
      </w:r>
      <w:r>
        <w:rPr>
          <w:rFonts w:ascii="Arial" w:cs="Arial" w:eastAsia="Arial" w:hAnsi="Arial"/>
          <w:sz w:val="24"/>
          <w:szCs w:val="24"/>
        </w:rPr>
        <w:t xml:space="preserve">433)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– количество </w:t>
      </w:r>
      <w:r>
        <w:rPr>
          <w:rFonts w:ascii="Arial" w:cs="Arial" w:eastAsia="Arial" w:hAnsi="Arial"/>
          <w:sz w:val="24"/>
          <w:szCs w:val="24"/>
        </w:rPr>
        <w:t xml:space="preserve">шести</w:t>
      </w:r>
      <w:r>
        <w:rPr>
          <w:rFonts w:ascii="Arial" w:cs="Arial" w:eastAsia="Arial" w:hAnsi="Arial"/>
          <w:sz w:val="24"/>
          <w:szCs w:val="24"/>
        </w:rPr>
        <w:t xml:space="preserve">угольников;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максимальная сумма всех </w:t>
      </w:r>
      <w:r>
        <w:rPr>
          <w:rFonts w:ascii="Arial" w:cs="Arial" w:eastAsia="Arial" w:hAnsi="Arial"/>
          <w:sz w:val="24"/>
          <w:szCs w:val="24"/>
        </w:rPr>
        <w:t xml:space="preserve">шестиу</w:t>
      </w:r>
      <w:r>
        <w:rPr>
          <w:rFonts w:ascii="Arial" w:cs="Arial" w:eastAsia="Arial" w:hAnsi="Arial"/>
          <w:sz w:val="24"/>
          <w:szCs w:val="24"/>
        </w:rPr>
        <w:t xml:space="preserve">гольников.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расчета Индекса развития j-го региона: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этапа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расчета интегральных показателей направлений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 региона, имеются следующие результаты: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1) Социальное благополучие - 0,8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2) Экономический рост и эффективность - 0,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3) Развитие деловой среды и финансового сектора - 0,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4) Развитие бюджетной сферы - 0,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Охрана окружающей среды – 0,64.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6) Развитие инфраструктуры – 0,74.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Далее, необходимо произвести расчеты площадей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угольников – A, B, C, 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их сумму: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=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=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=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=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*0,83*0,64=0,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4=0,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= 0,282+0,362+0,313+0,273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+0,230+0,205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1,63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Затем, проведем расчет интегрального показателя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 региона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Таким образом Индекс развития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 региона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составил 63 %.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помощью данной диаграммы возможно отображать состояние 6 направлений каждого региона в отдельности и проводить наглядное сравнение за базовый и отчетный период.</w:t>
      </w:r>
    </w:p>
    <w:p>
      <w:pPr>
        <w:spacing w:after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Построение рейтинга регионального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Результаты проведенных расчетов Индекса регионального развития по каждому региону служит основанием для формирования рейтинга регионального развития за отчетный период, чем выше индекс, тем лучше социально-экономическое положение региона.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расчетов Индексов развития регионов распределяются согласно таблице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развития областей и городов Бишкек и Ош за отчетный период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1"/>
        <w:gridCol w:w="3659"/>
        <w:gridCol w:w="1868"/>
      </w:tblGrid>
      <w:tr>
        <w:tc>
          <w:tcPr>
            <w:tcW w:type="dxa" w:w="4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3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Индекса развития региона за отчетный период</w:t>
            </w:r>
          </w:p>
        </w:tc>
        <w:tc>
          <w:tcPr>
            <w:tcW w:type="dxa" w:w="1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в рейтинге, №</w:t>
            </w:r>
          </w:p>
        </w:tc>
      </w:tr>
      <w:tr>
        <w:tc>
          <w:tcPr>
            <w:tcW w:type="dxa" w:w="4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R1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R2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4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opdidhswfuyqn3ui5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dalil.kg/document/200773</w:t>
      </w:r>
    </w:hyperlink>
  </w:p>
  <w:p>
    <w:pPr>
      <w:spacing w:after="0" w:before="40"/>
      <w:jc w:val="center"/>
    </w:pPr>
    <w:hyperlink w:history="1" r:id="rIdmhmldmt4f0xp6md9lav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wfvjcdtqymlt1a8ztcc" Type="http://schemas.openxmlformats.org/officeDocument/2006/relationships/hyperlink" Target="https://dalil.kg/document/200772" TargetMode="External"/><Relationship Id="rIdicyono2dcl1apk0pb3pjm" Type="http://schemas.openxmlformats.org/officeDocument/2006/relationships/hyperlink" Target="https://dalil.kg/document/200774#pr2" TargetMode="External"/><Relationship Id="rIddko2kwg1x9ezn4qvz6fp0" Type="http://schemas.openxmlformats.org/officeDocument/2006/relationships/hyperlink" Target="https://dalil.kg/document/2007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opdidhswfuyqn3ui55p" Type="http://schemas.openxmlformats.org/officeDocument/2006/relationships/hyperlink" Target="https://dalil.kg/document/200773" TargetMode="External"/><Relationship Id="rIdmhmldmt4f0xp6md9lav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2026-09-28T19:12:37.759Z</dcterms:created>
  <dcterms:modified xsi:type="dcterms:W3CDTF">2026-09-28T19:12:37.759Z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