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КУЛЬТУРЫ, ИНФОРМАЦИИ, СПОРТА И МОЛОДЕЖНОЙ ПОЛИТИКИ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31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 в Министерстве </w:t>
      </w:r>
      <w:r>
        <w:rPr>
          <w:rFonts w:ascii="Arial" w:cs="Arial" w:eastAsia="Arial" w:hAnsi="Arial"/>
          <w:sz w:val="24"/>
          <w:szCs w:val="24"/>
        </w:rPr>
        <w:t xml:space="preserve">культуры, информации, спорта и молодежной политики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коррупции, в соответствии с частью 4 </w:t>
      </w:r>
      <w:hyperlink w:history="1" r:id="rIdrdcemxr18kaxgdzgfy1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Положением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xcvbpiuz9dpxhz6fz_k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mcmho7ui65n75bhjqq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hyperlink w:history="1" r:id="rId_r7d5ycuqq4hj4eyy0n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31 мая 2023 года № 293,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tnolg-mcdqkhszx2gvo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культуры, информации, спорта и молодежной политики Кыргызской Республики (далее – Перечень), согласно </w:t>
      </w:r>
      <w:hyperlink w:history="1" r:id="rIdtn0eovzibmbp8l9uj-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Руководителям структурных и подведомственных подразделений в соответствии с перечнем министерства на постоянной основе осуществлять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снижению имеющихся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повышению антикоррупционного правосознания сотрудников, чья деятельность связана с функциями, подверженными коррупционному риску.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Сектору по вопросам предупреждения коррупции (С.М. Боркеев):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в соответствии с </w:t>
      </w:r>
      <w:hyperlink w:history="1" r:id="rId1yaegki1cxxzke2spak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 в газете «Эркин-Тоо»;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течении трех рабочих дней со дня официального опубликования направить копии настоящего приказа в двух экземплярах (на государственном и официальном языках), с указанием источника официального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течении трех рабочих дней со дня вступления в силу настоящего приказа направить копии приказа в двух экземплярах (на государственном и официальном языках)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Отделу пресс-службы (А.А. Асанбаева) опубликовать настоящий приказ на официальном сайте Министерства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надлежащее исполнение требований настоящего приказа возложить на сектор по вопросам предупреждения коррупции (С.М. Боркеев).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Отделу документационного обеспечения и контроля (А.Ш. Турсунбекова) ознакомить с настоящим приказом руководителей структурных и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25 августа 2023 года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Максутов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324ssagqatjih_vgj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dalil.kg/document/200912</w:t>
      </w:r>
    </w:hyperlink>
  </w:p>
  <w:p>
    <w:pPr>
      <w:spacing w:after="0" w:before="40"/>
      <w:jc w:val="center"/>
    </w:pPr>
    <w:hyperlink w:history="1" r:id="rIdmxsddnd6i0ymjlbbypc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cemxr18kaxgdzgfy1fj" Type="http://schemas.openxmlformats.org/officeDocument/2006/relationships/hyperlink" Target="https://dalil.kg/document/112303#st_20" TargetMode="External"/><Relationship Id="rIdxcvbpiuz9dpxhz6fz_kwa" Type="http://schemas.openxmlformats.org/officeDocument/2006/relationships/hyperlink" Target="https://dalil.kg/document/160035" TargetMode="External"/><Relationship Id="rIdmcmho7ui65n75bhjqqadr" Type="http://schemas.openxmlformats.org/officeDocument/2006/relationships/hyperlink" Target="https://dalil.kg/document/160227" TargetMode="External"/><Relationship Id="rId_r7d5ycuqq4hj4eyy0n1x" Type="http://schemas.openxmlformats.org/officeDocument/2006/relationships/hyperlink" Target="https://dalil.kg/document/112303" TargetMode="External"/><Relationship Id="rIdtnolg-mcdqkhszx2gvoie" Type="http://schemas.openxmlformats.org/officeDocument/2006/relationships/hyperlink" Target="https://dalil.kg/document/200913" TargetMode="External"/><Relationship Id="rIdtn0eovzibmbp8l9uj-jqw" Type="http://schemas.openxmlformats.org/officeDocument/2006/relationships/hyperlink" Target="https://dalil.kg/document/200913#pr" TargetMode="External"/><Relationship Id="rId1yaegki1cxxzke2spakmf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324ssagqatjih_vgjbl" Type="http://schemas.openxmlformats.org/officeDocument/2006/relationships/hyperlink" Target="https://dalil.kg/document/200912" TargetMode="External"/><Relationship Id="rIdmxsddnd6i0ymjlbbypc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2026-09-28T10:31:17.887Z</dcterms:created>
  <dcterms:modified xsi:type="dcterms:W3CDTF">2026-09-28T10:31:17.887Z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