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28 февраля 2007 года № 28                       ЗАКОН КЫРГЫЗСКОЙ РЕСПУБЛИКИ             О внесении дополнения и изменений в Гражданский                     кодекс Кыргызской Республики         Принят Жогорку Кенешем     Кыргызской Республики                         6 февраля 2007 год      Статья 1.      Внести в часть первую </w:t>
      </w:r>
      <w:hyperlink w:history="1" r:id="rIddtohp5qlzpiit0sdxxecc">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Республики(Ведомости Жогорку Кенеша Кыргызской Республики,  1996 г.,  № 6, ст.80)следующие дополнение и изменения:      1. </w:t>
      </w:r>
      <w:hyperlink w:history="1" r:id="rIdgosiktspzhess0p2pvz1z">
        <w:r>
          <w:rPr>
            <w:rFonts w:ascii="Arial" w:cs="Arial" w:eastAsia="Arial" w:hAnsi="Arial"/>
            <w:color w:val="1D4ED8"/>
            <w:sz w:val="24"/>
            <w:szCs w:val="24"/>
            <w:u w:val="single"/>
          </w:rPr>
          <w:t xml:space="preserve">Статью 324</w:t>
        </w:r>
      </w:hyperlink>
      <w:r>
        <w:rPr>
          <w:rFonts w:ascii="Arial" w:cs="Arial" w:eastAsia="Arial" w:hAnsi="Arial"/>
          <w:sz w:val="24"/>
          <w:szCs w:val="24"/>
        </w:rPr>
        <w:t xml:space="preserve"> дополнить пунктом 3 следующего содержания:      "3. Правила о залоге, содержащиеся в настоящем Кодексе, применяют-ся  к залогу недвижимого имущества (ипотеке) в случаях,  когда законом,регулирующим правоотношения по залогу, не установлены иные правила.".     2. </w:t>
      </w:r>
      <w:hyperlink w:history="1" r:id="rId7ynzwxe05mvd4-msbpfjc">
        <w:r>
          <w:rPr>
            <w:rFonts w:ascii="Arial" w:cs="Arial" w:eastAsia="Arial" w:hAnsi="Arial"/>
            <w:color w:val="1D4ED8"/>
            <w:sz w:val="24"/>
            <w:szCs w:val="24"/>
            <w:u w:val="single"/>
          </w:rPr>
          <w:t xml:space="preserve">Статью 325</w:t>
        </w:r>
      </w:hyperlink>
      <w:r>
        <w:rPr>
          <w:rFonts w:ascii="Arial" w:cs="Arial" w:eastAsia="Arial" w:hAnsi="Arial"/>
          <w:sz w:val="24"/>
          <w:szCs w:val="24"/>
        </w:rPr>
        <w:t xml:space="preserve"> изложить в следующей редакции:     "Статья 325. Предмет и виды залога      1. Предметом залога может быть любое имущество, в том числе вещи иправа (требования),  за исключением имущества, изъятого из гражданскогооборота,  прав,  носящих личный характер (право на получение заработнойплаты и т.д.),  требований,  неразрывно связанных с личностью кредитора(требования об алиментах и т.д.),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     Залог отдельных видов имущества,  в частности,  имущества граждан,на которое не допускается обращение взыскания,  может быть законом зап-рещен или ограничен.     2. Залог может выступать в виде:     залога с передачей заложенной вещи залогодержателю (заклад);     залога с оставлением заложенной вещи у залогодателя;     залога прав.".     3. </w:t>
      </w:r>
      <w:hyperlink w:history="1" r:id="rIdfq4s-fbl6cmi-7g5qhxlv">
        <w:r>
          <w:rPr>
            <w:rFonts w:ascii="Arial" w:cs="Arial" w:eastAsia="Arial" w:hAnsi="Arial"/>
            <w:color w:val="1D4ED8"/>
            <w:sz w:val="24"/>
            <w:szCs w:val="24"/>
            <w:u w:val="single"/>
          </w:rPr>
          <w:t xml:space="preserve">Статью 326</w:t>
        </w:r>
      </w:hyperlink>
      <w:r>
        <w:rPr>
          <w:rFonts w:ascii="Arial" w:cs="Arial" w:eastAsia="Arial" w:hAnsi="Arial"/>
          <w:sz w:val="24"/>
          <w:szCs w:val="24"/>
        </w:rPr>
        <w:t xml:space="preserve"> изложить в следующей редакции:     "Статья 326. Залогодатель      1. Залогодателем может быть сам должник по обязательству,  обеспе-ченному залогом, или третье лицо, не участвующее в этом обязательстве.     2. Залогодателем может быть лицо,  обладающее правом собственностиили иным вещным правом на предмет залога. Лицо, которому вещь принадле-жит на праве хозяйственного ведения или оперативного управления, вправезаложить ее с согласия ее собственника.     3. Залогодателем при залоге прав может быть только лицо,  которомупринадлежит закладываемое право.     Залог права аренды или иного права на чужую  вещь  не  допускаетсябез согласия ее собственника,  если законом или договором не предусмот-рено иное.".     4. Пункты 2 и 3 </w:t>
      </w:r>
      <w:hyperlink w:history="1" r:id="rId8wiauqw-vxop2h_iazhnn">
        <w:r>
          <w:rPr>
            <w:rFonts w:ascii="Arial" w:cs="Arial" w:eastAsia="Arial" w:hAnsi="Arial"/>
            <w:color w:val="1D4ED8"/>
            <w:sz w:val="24"/>
            <w:szCs w:val="24"/>
            <w:u w:val="single"/>
          </w:rPr>
          <w:t xml:space="preserve">статьи 327</w:t>
        </w:r>
      </w:hyperlink>
      <w:r>
        <w:rPr>
          <w:rFonts w:ascii="Arial" w:cs="Arial" w:eastAsia="Arial" w:hAnsi="Arial"/>
          <w:sz w:val="24"/>
          <w:szCs w:val="24"/>
        </w:rPr>
        <w:t xml:space="preserve"> изложить в следующей редакции:     "2. При залоге предприятия,  как имущественного  комплекса,  правозалога  распространяется на все входящее в его состав движимое и недви-жимое имущество,  материальные и нематериальные активы, включая здания,сооружения,  оборудование,  инвентарь,  сырье, готовую продукцию, праватребования,  исключительные права,  в том числе приобретенные в  периодзалога, если иное не предусмотрено законом или договором.     3. При залоге земельного участка, на котором находятся здания, со-оружения  или  жилые строения,  не являющиеся предметом залога по этомудоговору,  часть земельного участка,  занятая этими объектами,  и частьземельного участка, необходимая для их использования, должны быть выде-лены в самостоятельные земельные участки.     При залоге  здания,  сооружения  или  жилого строения право залогараспространяется на земельный участок,  занятый этими  объектами  и  начасть земельного участка, необходимую для их использования. В этом слу-чае на оставшийся земельный участок залог не распространяется.".     5. Пункты 1, 2 и 3 </w:t>
      </w:r>
      <w:hyperlink w:history="1" r:id="rId2mkgroebi0ngyuttvv8_f">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изложить в следующей редакции:     "1. В договоре о залоге должны быть указаны стороны (ф.и.о. и мес-тожительство),  обеспечиваемое залогом основное обязательство,  предметзалога,  его оценка,  состав,  местонахождение, а также достаточное дляидентификации описание,  право,  в силу которого имущество,  являющеесяпредметом залога, принадлежит залогодателю, с указанием реквизитов пра-воустанавливающего  документа  для недвижимого имущества или имущества,подлежащего регистрации,  размер и срок исполнения обязательства, обес-печиваемого залогом, и иные условия, определяемые соглашением сторон.     Если право залогодержателя удостоверяется закладной, то это должнобыть указано в договоре о залоге.     2. Договор о залоге должен быть заключен в письменной форме.     3. Договор  о залоге недвижимого имущества должен быть нотариальноудостоверен и подлежит государственной регистрации с учетом  особеннос-тей земельного законодательства.     Договор о залоге движимого имущества должен быть нотариально удос-товерен, если залог обеспечивает обязательства по договору, подлежащемунотариальному удостоверению,  а также в случаях, предусмотренных согла-шением сторон.".     6. </w:t>
      </w:r>
      <w:hyperlink w:history="1" r:id="rIdmfehtr8u4dl_f29ijf36b">
        <w:r>
          <w:rPr>
            <w:rFonts w:ascii="Arial" w:cs="Arial" w:eastAsia="Arial" w:hAnsi="Arial"/>
            <w:color w:val="1D4ED8"/>
            <w:sz w:val="24"/>
            <w:szCs w:val="24"/>
            <w:u w:val="single"/>
          </w:rPr>
          <w:t xml:space="preserve">Статью 329</w:t>
        </w:r>
      </w:hyperlink>
      <w:r>
        <w:rPr>
          <w:rFonts w:ascii="Arial" w:cs="Arial" w:eastAsia="Arial" w:hAnsi="Arial"/>
          <w:sz w:val="24"/>
          <w:szCs w:val="24"/>
        </w:rPr>
        <w:t xml:space="preserve"> изложить в следующей редакции:     "Статья 329. Последующий залог      1. Последующий залог допускается, если он не запрещен предшествую-щими договорами о залоге того же имущества, действие которых не прекра-тилось к моменту заключения последующего договора о залоге.  Если пред-шествующий договор о залоге предусматривает условия,  на которых  можетбыть заключен последующий договор о залоге,  последний должен быть зак-лючен с соблюдением этих условий.     2. Если имущество,  находящееся в залоге, становится предметом ещеодного залога в обеспечение других требований (последующий залог),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залогодержателеминаче.     3. Залогодатель обязан письменно сообщить каждому последующему за-логодержателю сведения обо всех существующих залогах данного имущества,а также о характере и размере обеспеченных этими залогами  обязательстви должен возместить убытки, причиненные залогодержателям вследствие не-исполнения этой обязанности.".     7. В </w:t>
      </w:r>
      <w:hyperlink w:history="1" r:id="rId6cbm_bzeobhxp6qebws3h">
        <w:r>
          <w:rPr>
            <w:rFonts w:ascii="Arial" w:cs="Arial" w:eastAsia="Arial" w:hAnsi="Arial"/>
            <w:color w:val="1D4ED8"/>
            <w:sz w:val="24"/>
            <w:szCs w:val="24"/>
            <w:u w:val="single"/>
          </w:rPr>
          <w:t xml:space="preserve">статье 331</w:t>
        </w:r>
      </w:hyperlink>
      <w:r>
        <w:rPr>
          <w:rFonts w:ascii="Arial" w:cs="Arial" w:eastAsia="Arial" w:hAnsi="Arial"/>
          <w:sz w:val="24"/>
          <w:szCs w:val="24"/>
        </w:rPr>
        <w:t xml:space="preserve">:     абзац второй пункта 2 изложить в следующей редакции:     "Залогодержатель отвечает  за утрату предмета залога в размере егорыночной стоимости,  а за его повреждение выплачивает сумму, на которуюуменьшилась  рыночная  стоимость  заложенного  имущества после порчи посравнению с денежной стоимостью,  согласованной сторонами при  передачезаложенного имущества,  а при отсутствии такого соглашения - по сравне-нию с рыночной стоимостью имущества в момент заклада.";     в абзаце  втором  пункта 3 слова "хозяйственного ведения" заменитьсловами "право пользования".     8. Пункт 1 </w:t>
      </w:r>
      <w:hyperlink w:history="1" r:id="rId0ypurwiiens9z4egxhu4x">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изложить в следующей редакции:     "1.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9. В </w:t>
      </w:r>
      <w:hyperlink w:history="1" r:id="rIdaqikrynnhlioy44jxhiu_">
        <w:r>
          <w:rPr>
            <w:rFonts w:ascii="Arial" w:cs="Arial" w:eastAsia="Arial" w:hAnsi="Arial"/>
            <w:color w:val="1D4ED8"/>
            <w:sz w:val="24"/>
            <w:szCs w:val="24"/>
            <w:u w:val="single"/>
          </w:rPr>
          <w:t xml:space="preserve">статье 335</w:t>
        </w:r>
      </w:hyperlink>
      <w:r>
        <w:rPr>
          <w:rFonts w:ascii="Arial" w:cs="Arial" w:eastAsia="Arial" w:hAnsi="Arial"/>
          <w:sz w:val="24"/>
          <w:szCs w:val="24"/>
        </w:rPr>
        <w:t xml:space="preserve">:     в абзаце  втором пункта 1 слова "после возникновения оснований дляобращения взыскания на предмет залога" заменить словами "одновременно сдоговором о залоге либо заключенного в период действия договора о зало-ге";     пункт 3 изложить в следующей редакции:     "3. Взыскание на предмет залога может быть обращено только по  ре-шению суда в случае, если заложенное имущество отнесено в установленномзаконодательством порядке к имуществу, имеющему значительную историчес-кую, художественную или иную культурную ценность для общества.".     10. В </w:t>
      </w:r>
      <w:hyperlink w:history="1" r:id="rIdozq7ns-dw45btkxhbjbwx">
        <w:r>
          <w:rPr>
            <w:rFonts w:ascii="Arial" w:cs="Arial" w:eastAsia="Arial" w:hAnsi="Arial"/>
            <w:color w:val="1D4ED8"/>
            <w:sz w:val="24"/>
            <w:szCs w:val="24"/>
            <w:u w:val="single"/>
          </w:rPr>
          <w:t xml:space="preserve">статье 336</w:t>
        </w:r>
      </w:hyperlink>
      <w:r>
        <w:rPr>
          <w:rFonts w:ascii="Arial" w:cs="Arial" w:eastAsia="Arial" w:hAnsi="Arial"/>
          <w:sz w:val="24"/>
          <w:szCs w:val="24"/>
        </w:rPr>
        <w:t xml:space="preserve">:     абзац второй пункта 4 изложить в следующей редакции:     "При объявлении несостоявшимися повторных  торгов  залогодержательвправе  оставить за собой предмет залога (с учетом особенностей обраще-ния взыскания на  заложенные  земельные  участки  сельскохозяйственногоназначения, предусмотренных земельным законодательством Кыргызской Рес-публики) с оценкой его в сумме не более чем на  десять  процентов  нижецены, установленной на повторных торгах.";     абзац третий пункта 4 исключить.     11. </w:t>
      </w:r>
      <w:hyperlink w:history="1" r:id="rIdok_ric0u2sk--o0errrts">
        <w:r>
          <w:rPr>
            <w:rFonts w:ascii="Arial" w:cs="Arial" w:eastAsia="Arial" w:hAnsi="Arial"/>
            <w:color w:val="1D4ED8"/>
            <w:sz w:val="24"/>
            <w:szCs w:val="24"/>
            <w:u w:val="single"/>
          </w:rPr>
          <w:t xml:space="preserve">Статью 337</w:t>
        </w:r>
      </w:hyperlink>
      <w:r>
        <w:rPr>
          <w:rFonts w:ascii="Arial" w:cs="Arial" w:eastAsia="Arial" w:hAnsi="Arial"/>
          <w:sz w:val="24"/>
          <w:szCs w:val="24"/>
        </w:rPr>
        <w:t xml:space="preserve"> изложить в следующей редакции:     "Статья 337. Досрочное исполнение обязательства, обеспеченного                  залогом, и обращение взыскания на заложенное                  имущество      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случаях:     1) нарушения  залогодателем правил о распоряжении предметом залогаили если предмет залога выбыл из владения залогодателя;     2) нарушения  залогодателем  правил  о  замене  или восстановлениипредмета залога;     3) утраты предмета залога по обстоятельствам, за которые залогода-тель не отвечает, если залогодатель не воспользовался правом замены иливосстановления предмета залога;     4) нарушения залогодателем правил о последующем залоге;     5) нарушения залогодателем обязанностей по содержанию и сохраннос-ти предмета залога;     6) нарушения  залогодателем обязанностей по предупреждению залого-держателя о правах третьих лиц на предмет залога;     7) в  иных случаях,  предусмотренных законом или договором о зало-ге.".     12. В  пункте  4  </w:t>
      </w:r>
      <w:hyperlink w:history="1" r:id="rId9ni-lekzlbznprtsz0bbr">
        <w:r>
          <w:rPr>
            <w:rFonts w:ascii="Arial" w:cs="Arial" w:eastAsia="Arial" w:hAnsi="Arial"/>
            <w:color w:val="1D4ED8"/>
            <w:sz w:val="24"/>
            <w:szCs w:val="24"/>
            <w:u w:val="single"/>
          </w:rPr>
          <w:t xml:space="preserve">статьи  339</w:t>
        </w:r>
      </w:hyperlink>
      <w:r>
        <w:rPr>
          <w:rFonts w:ascii="Arial" w:cs="Arial" w:eastAsia="Arial" w:hAnsi="Arial"/>
          <w:sz w:val="24"/>
          <w:szCs w:val="24"/>
        </w:rPr>
        <w:t xml:space="preserve"> слово "коммунальных" заменить словом"муниципальных".      Статья 2.      Настоящий Закон вступает в силу со дня официального опубликования.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tohp5qlzpiit0sdxxecc" Type="http://schemas.openxmlformats.org/officeDocument/2006/relationships/hyperlink" Target="http://kodeks.duckdns.org/document/4" TargetMode="External"/><Relationship Id="rIdgosiktspzhess0p2pvz1z" Type="http://schemas.openxmlformats.org/officeDocument/2006/relationships/hyperlink" Target="http://kodeks.duckdns.org/document/4#47" TargetMode="External"/><Relationship Id="rId7ynzwxe05mvd4-msbpfjc" Type="http://schemas.openxmlformats.org/officeDocument/2006/relationships/hyperlink" Target="http://kodeks.duckdns.org/document/4#48" TargetMode="External"/><Relationship Id="rIdfq4s-fbl6cmi-7g5qhxlv" Type="http://schemas.openxmlformats.org/officeDocument/2006/relationships/hyperlink" Target="http://kodeks.duckdns.org/document/4#49" TargetMode="External"/><Relationship Id="rId8wiauqw-vxop2h_iazhnn" Type="http://schemas.openxmlformats.org/officeDocument/2006/relationships/hyperlink" Target="http://kodeks.duckdns.org/document/4#50" TargetMode="External"/><Relationship Id="rId2mkgroebi0ngyuttvv8_f" Type="http://schemas.openxmlformats.org/officeDocument/2006/relationships/hyperlink" Target="http://kodeks.duckdns.org/document/4#51" TargetMode="External"/><Relationship Id="rIdmfehtr8u4dl_f29ijf36b" Type="http://schemas.openxmlformats.org/officeDocument/2006/relationships/hyperlink" Target="http://kodeks.duckdns.org/document/4#52" TargetMode="External"/><Relationship Id="rId6cbm_bzeobhxp6qebws3h" Type="http://schemas.openxmlformats.org/officeDocument/2006/relationships/hyperlink" Target="http://kodeks.duckdns.org/document/4#53" TargetMode="External"/><Relationship Id="rId0ypurwiiens9z4egxhu4x" Type="http://schemas.openxmlformats.org/officeDocument/2006/relationships/hyperlink" Target="http://kodeks.duckdns.org/document/4#54" TargetMode="External"/><Relationship Id="rIdaqikrynnhlioy44jxhiu_" Type="http://schemas.openxmlformats.org/officeDocument/2006/relationships/hyperlink" Target="http://kodeks.duckdns.org/document/4#55" TargetMode="External"/><Relationship Id="rIdozq7ns-dw45btkxhbjbwx" Type="http://schemas.openxmlformats.org/officeDocument/2006/relationships/hyperlink" Target="http://kodeks.duckdns.org/document/4#56" TargetMode="External"/><Relationship Id="rIdok_ric0u2sk--o0errrts" Type="http://schemas.openxmlformats.org/officeDocument/2006/relationships/hyperlink" Target="http://kodeks.duckdns.org/document/4#57" TargetMode="External"/><Relationship Id="rId9ni-lekzlbznprtsz0bbr" Type="http://schemas.openxmlformats.org/officeDocument/2006/relationships/hyperlink" Target="http://kodeks.duckdns.org/document/4#58"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2026-09-22T23:03:30.400Z</dcterms:created>
  <dcterms:modified xsi:type="dcterms:W3CDTF">2026-09-22T23:03:30.400Z</dcterms:modified>
</cp:coreProperties>
</file>

<file path=docProps/custom.xml><?xml version="1.0" encoding="utf-8"?>
<Properties xmlns="http://schemas.openxmlformats.org/officeDocument/2006/custom-properties" xmlns:vt="http://schemas.openxmlformats.org/officeDocument/2006/docPropsVTypes"/>
</file>