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с 1 января 2019 года в соответствии с </w:t>
      </w:r>
      <w:hyperlink w:history="1" r:id="rIdrrnivlx_-5wy0xkldbf7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13 апреля 2017 года № 58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г.Бишкек, от 25 апреля 2008 года N 68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дополнения в Кодекс Кыргызской Республики об административной ответственности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 (Ведомости Жогорку Кенеша Кыргызской Республики, 1999 г., N 2, ст.77) следующее дополнение: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</w:t>
      </w:r>
      <w:r>
        <w:rPr>
          <w:rFonts w:ascii="Arial" w:cs="Arial" w:eastAsia="Arial" w:hAnsi="Arial"/>
          <w:sz w:val="24"/>
          <w:szCs w:val="24"/>
        </w:rPr>
        <w:t xml:space="preserve">статьи 120</w:t>
      </w:r>
      <w:r>
        <w:rPr>
          <w:rFonts w:ascii="Arial" w:cs="Arial" w:eastAsia="Arial" w:hAnsi="Arial"/>
          <w:sz w:val="24"/>
          <w:szCs w:val="24"/>
        </w:rPr>
        <w:t xml:space="preserve"> после слов "правил их эксплуатации" дополнить словами ", а также разрушение коллекторно-дренажных систем".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"Эркинтоо" от 29 апреля 2008 года N 31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К.Бакиев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13 марта 2008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rnivlx_-5wy0xkldbf7y" Type="http://schemas.openxmlformats.org/officeDocument/2006/relationships/hyperlink" Target="http://kodeks.duckdns.org/document/11156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2026-09-22T23:39:20.300Z</dcterms:created>
  <dcterms:modified xsi:type="dcterms:W3CDTF">2026-09-22T23:39:20.300Z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