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УТРАЧИВАЕТ СИЛУ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 1 января 2019 года в соответствии с </w:t>
      </w:r>
      <w:hyperlink w:history="1" r:id="rIdyknceyu4nyiq0ae2sm1qs">
        <w:r>
          <w:rPr>
            <w:rFonts w:ascii="Arial" w:cs="Arial" w:eastAsia="Arial" w:hAnsi="Arial"/>
            <w:b/>
            <w:bCs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b/>
          <w:bCs/>
          <w:sz w:val="22"/>
          <w:szCs w:val="22"/>
        </w:rPr>
        <w:t xml:space="preserve"> КР от 10 августа 2018 года N 89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27 июля 2009 года № 253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"О неналоговых платежах"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 25 июня 2009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yfxxunoeusdvmhjyshwz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неналоговых платежах" (Ве-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домости  Жогорку Кенеша Кыргызской Республики,  1994 г.,  № 5,  ст.157)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следующее изменение: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часть 2 статьи 19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"В случае аренды имущества,  относящегося к государственной  собс-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твенности, арендная плата распределяется следующим образом: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- 30 процентов вносятся в республиканский бюджет;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- 70  процентов используются государственными органами и организа-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циями для содержания и ремонта государственных административных  зданий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(помещений).".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 1 января 2010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ежегодно при  подготовке  проекта  закона  Кыргызской Республики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 предусматривать нормативы распределения доходов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  арендной платы,  получаемых от сдачи в аренду государственного иму-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щества (зданий, помещений), в следующем размере: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- 30 процентов вносятся в республиканский бюджет;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- 70 процентов используются на  содержание  государственных  адми-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нистративных зданий (помещений);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привести свои решения в соответствие с настоящим Законом.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 К.Бакиев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knceyu4nyiq0ae2sm1qs" Type="http://schemas.openxmlformats.org/officeDocument/2006/relationships/hyperlink" Target="http://kodeks.duckdns.org/document/111819" TargetMode="External"/><Relationship Id="rIdyfxxunoeusdvmhjyshwzu" Type="http://schemas.openxmlformats.org/officeDocument/2006/relationships/hyperlink" Target="http://kodeks.duckdns.org/document/74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2026-09-23T04:01:37.364Z</dcterms:created>
  <dcterms:modified xsi:type="dcterms:W3CDTF">2026-09-23T04:01:37.364Z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