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b/>
          <w:bCs/>
          <w:i/>
          <w:iCs/>
          <w:sz w:val="24"/>
          <w:szCs w:val="24"/>
        </w:rPr>
        <w:t xml:space="preserve">УТРАТИЛ СИЛУ</w:t>
      </w:r>
      <w:r>
        <w:rPr>
          <w:rFonts w:ascii="Arial" w:cs="Arial" w:eastAsia="Arial" w:hAnsi="Arial"/>
          <w:sz w:val="24"/>
          <w:szCs w:val="24"/>
        </w:rPr>
        <w:t xml:space="preserve">
 с 1 января 2019 года в соответствии с </w:t>
      </w:r>
      <w:hyperlink w:history="1" r:id="rId3l4__f7zrfhfcwj9xep_d">
        <w:r>
          <w:rPr>
            <w:rFonts w:ascii="Arial" w:cs="Arial" w:eastAsia="Arial" w:hAnsi="Arial"/>
            <w:color w:val="1D4ED8"/>
            <w:sz w:val="24"/>
            <w:szCs w:val="24"/>
            <w:u w:val="single"/>
          </w:rPr>
          <w:t xml:space="preserve">Законом КР</w:t>
        </w:r>
      </w:hyperlink>
      <w:r>
        <w:rPr>
          <w:rFonts w:ascii="Arial" w:cs="Arial" w:eastAsia="Arial" w:hAnsi="Arial"/>
          <w:sz w:val="24"/>
          <w:szCs w:val="24"/>
        </w:rPr>
        <w:t xml:space="preserve"> от 24 января 2017 года N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 ноября 2011 года № 195</w:t>
      </w:r>
    </w:p>
    <w:p>
      <w:pPr>
        <w:spacing w:after="120"/>
        <w:jc w:val="both"/>
      </w:pPr>
      <w:r>
        <w:rPr>
          <w:rFonts w:ascii="Arial" w:cs="Arial" w:eastAsia="Arial" w:hAnsi="Arial"/>
          <w:sz w:val="24"/>
          <w:szCs w:val="24"/>
        </w:rPr>
        <w:t xml:space="preserve">О внесении изменения в Уголовный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Уголовный </w:t>
      </w:r>
      <w:hyperlink w:history="1" r:id="rIdfogm1yxnrb2poljiorpr6">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1998 г., № 7, ст.229) следующее изменение:</w:t>
      </w:r>
    </w:p>
    <w:p>
      <w:pPr>
        <w:spacing w:after="120"/>
        <w:jc w:val="both"/>
      </w:pPr>
      <w:r>
        <w:rPr>
          <w:rFonts w:ascii="Arial" w:cs="Arial" w:eastAsia="Arial" w:hAnsi="Arial"/>
          <w:sz w:val="24"/>
          <w:szCs w:val="24"/>
        </w:rPr>
        <w:t xml:space="preserve">статью 157 изложить в следующей редакции:</w:t>
      </w:r>
    </w:p>
    <w:p>
      <w:pPr>
        <w:spacing w:after="120"/>
        <w:jc w:val="both"/>
      </w:pPr>
      <w:r>
        <w:rPr>
          <w:rFonts w:ascii="Arial" w:cs="Arial" w:eastAsia="Arial" w:hAnsi="Arial"/>
          <w:sz w:val="24"/>
          <w:szCs w:val="24"/>
        </w:rPr>
        <w:t xml:space="preserve">"Статья 157. Вовлечение несовершеннолетнего в совершение</w:t>
      </w:r>
    </w:p>
    <w:p>
      <w:pPr>
        <w:spacing w:after="120"/>
        <w:jc w:val="both"/>
      </w:pPr>
      <w:r>
        <w:rPr>
          <w:rFonts w:ascii="Arial" w:cs="Arial" w:eastAsia="Arial" w:hAnsi="Arial"/>
          <w:sz w:val="24"/>
          <w:szCs w:val="24"/>
        </w:rPr>
        <w:t xml:space="preserve">антиобщественных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Вовлечение несовершеннолетнего лица в пьянство, употребление наркотических средств или других одурманивающих веществ без назначения врача, проституцию, совершение сексуальных действий, занятие бродяжничеством или попрошайничеством либо использование его в бродяжничестве или попрошайничестве, совершенные лицом, достигшим восемнадцатилетнего возраста, -</w:t>
      </w:r>
    </w:p>
    <w:p>
      <w:pPr>
        <w:spacing w:after="120"/>
        <w:jc w:val="both"/>
      </w:pPr>
      <w:r>
        <w:rPr>
          <w:rFonts w:ascii="Arial" w:cs="Arial" w:eastAsia="Arial" w:hAnsi="Arial"/>
          <w:sz w:val="24"/>
          <w:szCs w:val="24"/>
        </w:rPr>
        <w:t xml:space="preserve">наказываются штрафом в размере от ста до трехсот расчетных показателей либо ограничением свободы на срок от одного года до трех лет, либо лишением свободы на срок от одного года до трех лет.</w:t>
      </w:r>
    </w:p>
    <w:p>
      <w:pPr>
        <w:spacing w:after="120"/>
        <w:jc w:val="both"/>
      </w:pPr>
      <w:r>
        <w:rPr>
          <w:rFonts w:ascii="Arial" w:cs="Arial" w:eastAsia="Arial" w:hAnsi="Arial"/>
          <w:sz w:val="24"/>
          <w:szCs w:val="24"/>
        </w:rPr>
        <w:t xml:space="preserve">(2) Те же деяния, совершенные родителем, педагогом или иным лицом, на которое законом возложены обязанности по воспитанию несовершеннолетнего, -</w:t>
      </w:r>
    </w:p>
    <w:p>
      <w:pPr>
        <w:spacing w:after="120"/>
        <w:jc w:val="both"/>
      </w:pPr>
      <w:r>
        <w:rPr>
          <w:rFonts w:ascii="Arial" w:cs="Arial" w:eastAsia="Arial" w:hAnsi="Arial"/>
          <w:sz w:val="24"/>
          <w:szCs w:val="24"/>
        </w:rPr>
        <w:t xml:space="preserve">наказываются штрафом в размере от трехсот до пятисот расчетных показателей либо лишением права занимать определенные должности или заниматься определенной деятельностью на срок до трех лет, либо лишением свободы на срок до четырех лет.</w:t>
      </w:r>
    </w:p>
    <w:p>
      <w:pPr>
        <w:spacing w:after="120"/>
        <w:jc w:val="both"/>
      </w:pPr>
      <w:r>
        <w:rPr>
          <w:rFonts w:ascii="Arial" w:cs="Arial" w:eastAsia="Arial" w:hAnsi="Arial"/>
          <w:sz w:val="24"/>
          <w:szCs w:val="24"/>
        </w:rPr>
        <w:t xml:space="preserve">(3) Деяния, предусмотренные частями первой или второй настоящей статьи, совершенные с применением насилия или с угрозой его применения,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наказываются лишением права занимать определенные должности или заниматься определенной деятельностью на срок до пяти лет либо ограничением свободы на срок до пяти лет, либо лишением свободы на срок до пяти лет.</w:t>
      </w:r>
    </w:p>
    <w:p>
      <w:pPr>
        <w:spacing w:after="120"/>
        <w:jc w:val="both"/>
      </w:pPr>
      <w:r>
        <w:rPr>
          <w:rFonts w:ascii="Arial" w:cs="Arial" w:eastAsia="Arial" w:hAnsi="Arial"/>
          <w:sz w:val="24"/>
          <w:szCs w:val="24"/>
        </w:rPr>
        <w:t xml:space="preserve">Примечание. Действие настоящей статьи не распространяется на случаи вовлечения несовершеннолетнего в бродяжничество либо использования его в бродяжничестве, если эти деяния совершены родителем вследствие стечения тяжелых жизненных обстоятельств, вызванных утратой источника существования или отсутствием места 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l4__f7zrfhfcwj9xep_d" Type="http://schemas.openxmlformats.org/officeDocument/2006/relationships/hyperlink" Target="http://kodeks.duckdns.org/document/111703" TargetMode="External"/><Relationship Id="rIdfogm1yxnrb2poljiorpr6" Type="http://schemas.openxmlformats.org/officeDocument/2006/relationships/hyperlink" Target="http://kodeks.duckdns.org/document/568"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2026-09-23T02:54:29.408Z</dcterms:created>
  <dcterms:modified xsi:type="dcterms:W3CDTF">2026-09-23T02:54:29.408Z</dcterms:modified>
</cp:coreProperties>
</file>

<file path=docProps/custom.xml><?xml version="1.0" encoding="utf-8"?>
<Properties xmlns="http://schemas.openxmlformats.org/officeDocument/2006/custom-properties" xmlns:vt="http://schemas.openxmlformats.org/officeDocument/2006/docPropsVTypes"/>
</file>