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УТРАТИЛ СИЛУ</w:t>
      </w:r>
      <w:r>
        <w:rPr>
          <w:rFonts w:ascii="Arial" w:cs="Arial" w:eastAsia="Arial" w:hAnsi="Arial"/>
          <w:sz w:val="28"/>
          <w:szCs w:val="28"/>
        </w:rPr>
        <w:t xml:space="preserve">
 с 1 января 2019 года в соответствии с </w:t>
      </w:r>
      <w:hyperlink w:history="1" r:id="rIdw1rjsbc53gdzqgbkvplla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8"/>
          <w:szCs w:val="28"/>
        </w:rPr>
        <w:t xml:space="preserve"> КР от 10 августа 2018 года </w:t>
      </w:r>
      <w:r>
        <w:rPr>
          <w:rFonts w:ascii="Arial" w:cs="Arial" w:eastAsia="Arial" w:hAnsi="Arial"/>
          <w:sz w:val="28"/>
          <w:szCs w:val="28"/>
        </w:rPr>
        <w:t xml:space="preserve">N </w:t>
      </w:r>
      <w:r>
        <w:rPr>
          <w:rFonts w:ascii="Arial" w:cs="Arial" w:eastAsia="Arial" w:hAnsi="Arial"/>
          <w:sz w:val="28"/>
          <w:szCs w:val="28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197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
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4tdtdhiw2icxbagfrn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(Ведомости Жогорку Кенеша Кыргызской Республики, 2007 г., № 7-9, ст.722)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поступает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к государственному нотариусу в размере 90 процентов поступает в местный бюджет, в размере 10 процентов - в фонд 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к частному нотариусу в размере 90 процентов поступает в местный бюджет, в размере 10 процентов - в распоряжение частного нотариуса;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органы, осуществляющие регистрацию актов гражданского состояния, в размере 90 процентов поступает в местный бюджет, в размере 10 процентов - в фонд развития и материального обеспечения уполномоченного государственного органа в области регистрации населения,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государственный орган за выдачу паспорта гражданина Кыргызской Республики и общегражданского паспорта гражданина Кыргызской Республики в размере 85 процентов поступает на специальный блокированный счет уполномоченного органа и 15 процентов в фонд развития и материального обеспечения уполномоченного государственного органа в области регистрации населения,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орган: за оформление документов на право выезда за границу и въезда по приглашению в Кыргызскую Республику лиц из зарубежных стран; внесение изменений в эти документы; регистрацию и продление сроков регистрации иностранных граждан по паспортам или заменяющим их документам; выдачу или продление вида на жительство; выдачу визы иностранному гражданину на право въезда в Кыргызскую Республику и выезда из Кыргызской Республики; продление визы на право пребывания на территории Кыргызской Республики, а также за рассмотрение документов о приеме в гражданство Кыргызской Республики и о выходе из гражданства Кыргызской Республики поступает в размере 90 процентов в республиканский бюджет и 10 процентов - в фонд развития и материального обеспечения уполномоченного государственного органа в области регистрации населения,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s6j8p5zql9mkiacbm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dalil.kg/document/203436</w:t>
      </w:r>
    </w:hyperlink>
  </w:p>
  <w:p>
    <w:pPr>
      <w:spacing w:after="0" w:before="40"/>
      <w:jc w:val="center"/>
    </w:pPr>
    <w:hyperlink w:history="1" r:id="rIdfv4_wyvcx8wbi0mdkqk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rjsbc53gdzqgbkvplla" Type="http://schemas.openxmlformats.org/officeDocument/2006/relationships/hyperlink" Target="https://dalil.kg/document/111819" TargetMode="External"/><Relationship Id="rIdx4tdtdhiw2icxbagfrnon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s6j8p5zql9mkiacbmoz" Type="http://schemas.openxmlformats.org/officeDocument/2006/relationships/hyperlink" Target="https://dalil.kg/document/203436" TargetMode="External"/><Relationship Id="rIdfv4_wyvcx8wbi0mdkqk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2026-09-25T19:38:13.945Z</dcterms:created>
  <dcterms:modified xsi:type="dcterms:W3CDTF">2026-09-25T19:38:13.945Z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