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sz w:val="24"/>
          <w:szCs w:val="24"/>
        </w:rPr>
        <w:t xml:space="preserve">
 с 1 июля 2017 года в соответствии с </w:t>
      </w:r>
      <w:hyperlink w:history="1" r:id="rIdt9i1e8hih1hvuzchcdo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января 2017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2012 года № 101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Гражданский процессуальный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bnt-x1vdpz0w_xmi9c7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№ 3, ст.158)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363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363. Подача заявления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или представление о пересмотре судебного акта по вновь открывшимся обстоятельствам подается лицами, участвовавшими в деле, в суд, рассмотревший дело по первой инстанции, в течение трех месяцев со дня установления обстоятельств, служащих основанием для пересмотра.".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9i1e8hih1hvuzchcdozh" Type="http://schemas.openxmlformats.org/officeDocument/2006/relationships/hyperlink" Target="http://kodeks.duckdns.org/document/111513" TargetMode="External"/><Relationship Id="rIdbnt-x1vdpz0w_xmi9c7mw" Type="http://schemas.openxmlformats.org/officeDocument/2006/relationships/hyperlink" Target="http://kodeks.duckdns.org/document/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2026-09-23T00:27:41.153Z</dcterms:created>
  <dcterms:modified xsi:type="dcterms:W3CDTF">2026-09-23T00:27:41.153Z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