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ограничении ростовщической деятельности в Кыргызской Республике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31ky1yrjbnegi58o5w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88 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nl2jymgk4hnzkjb-zcy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государственной политики в области ограничения ростовщической деятельности в Кыргызской Республике и правовые основы установления ограничения.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кредиторов - физических и юридических лиц независимо от форм собственности, выдающих займы и кредиты в долг под проценты, осуществляющих финансирование с наценкой, подпадающих под определение ростовщической деятельности, за исключением кредитов/финансирования, предоставляемых в соответствии с </w:t>
      </w:r>
      <w:hyperlink w:history="1" r:id="rIdwwpvbhfpqidh2wcfz_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потребительском кредите".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irzoxuzuo7ckh6qvns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ограничении ростовщической деятельности и сфера его применения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об ограничении ростовщической деятельности основывается на </w:t>
      </w:r>
      <w:hyperlink w:history="1" r:id="rIdffwkddbtyltpq5ammaz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Гражданском </w:t>
      </w:r>
      <w:hyperlink w:history="1" r:id="rIdshquycqaxl61diksys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настоящем Законе и иных нормативных правовых актах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законодательства Кыргызской Республики, касающиеся вопросов ограничения процентных ставок/наценки в судебном порядке, не должны противоречить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bz3vetw2ideh5lbkxg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Цель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защита прав потребителей - заемщиков посредством обеспечения справедливого определения размера процентных ставок займов и кредитов, наценки по финансированию.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slrv1xdt4ogplfbby-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термины и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Закона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высокий процент/наценка </w:t>
      </w:r>
      <w:r>
        <w:rPr>
          <w:rFonts w:ascii="Arial" w:cs="Arial" w:eastAsia="Arial" w:hAnsi="Arial"/>
          <w:sz w:val="24"/>
          <w:szCs w:val="24"/>
        </w:rPr>
        <w:t xml:space="preserve">- значение процентной ставки/наценки (в годовом, номинальном процентном значении), равное или превышающее предельно допустимый процент/наценку;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заем</w:t>
      </w:r>
      <w:r>
        <w:rPr>
          <w:rFonts w:ascii="Arial" w:cs="Arial" w:eastAsia="Arial" w:hAnsi="Arial"/>
          <w:sz w:val="24"/>
          <w:szCs w:val="24"/>
        </w:rPr>
        <w:t xml:space="preserve"> - вид обязательственных отношений, в силу которых одна сторона (кредитор) передает в собственность другой стороне (заемщику) денежные и/или материальные средства, а заемщик обязуется возвратить кредитору такой же размер денежных и/или материальных средств с уплатой процентов или без таковых;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заемщик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получившее у кредитора денежные и/или материальные средства посредством кредита, займа, финансирования на условиях возвратности и платности;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предоставляемые кредитором заемщику в размере и на условиях, предусмотренных договором, которые заемщик обязуется возвратить и уплатить проценты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кредитор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предоставляющее заемщику денежные и/или материальные средства посредством кредита, займа, финансирования на условиях возвратности и платности;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 допустимый процент/наценка </w:t>
      </w:r>
      <w:r>
        <w:rPr>
          <w:rFonts w:ascii="Arial" w:cs="Arial" w:eastAsia="Arial" w:hAnsi="Arial"/>
          <w:sz w:val="24"/>
          <w:szCs w:val="24"/>
        </w:rPr>
        <w:t xml:space="preserve">- размер процентной ставки по предоставлению кредита и займа, наценки (в годовом, номинальном процентном значении) по финансированию, выдаваемых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установленный в порядке, предусмотренном настоящим Законом, превышение которого не признается государством;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ростовщическая деятельность </w:t>
      </w:r>
      <w:r>
        <w:rPr>
          <w:rFonts w:ascii="Arial" w:cs="Arial" w:eastAsia="Arial" w:hAnsi="Arial"/>
          <w:sz w:val="24"/>
          <w:szCs w:val="24"/>
        </w:rPr>
        <w:t xml:space="preserve">- деятельность физических и юридических лиц по предоставлению денежных и/или материальных средств по договору на основе срочности, возвратности и платности, предусматривающая при этом в договоре высокие проценты/наценку за пользование указанными денежными и/или материальными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ростовщические процентные ставки </w:t>
      </w:r>
      <w:r>
        <w:rPr>
          <w:rFonts w:ascii="Arial" w:cs="Arial" w:eastAsia="Arial" w:hAnsi="Arial"/>
          <w:sz w:val="24"/>
          <w:szCs w:val="24"/>
        </w:rPr>
        <w:t xml:space="preserve">- процентные ставки по кредитному договору или договору займа, а также наценка (в годовом, номинальном процентном значении) по договору финансирования в размере, превышающем предельно допустимый процент/наценку;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ростовщичество</w:t>
      </w:r>
      <w:r>
        <w:rPr>
          <w:rFonts w:ascii="Arial" w:cs="Arial" w:eastAsia="Arial" w:hAnsi="Arial"/>
          <w:sz w:val="24"/>
          <w:szCs w:val="24"/>
        </w:rPr>
        <w:t xml:space="preserve"> - предоставление денежных и/или материальных средств в кредит, заем, финансирование под высокие проценты/наценку;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</w:t>
      </w:r>
      <w:r>
        <w:rPr>
          <w:rFonts w:ascii="Arial" w:cs="Arial" w:eastAsia="Arial" w:hAnsi="Arial"/>
          <w:sz w:val="24"/>
          <w:szCs w:val="24"/>
        </w:rPr>
        <w:t xml:space="preserve"> - предоставление денежных средств, товаров или услуг одной стороной (кредитором) другой стороне (заемщику) на основе договорных отношений, соответствующих исламским принципам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usqh3wuzsqnex84rye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Взаимоотношения заемщика с кредитором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Отношения заемщика с кредитором осуществляются на основе кредитного договора или договора займа, договора финансирования (в бумажном или электронном виде) в соответствии с требованиями гражданского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договоре предусматриваются основные условия договаривающихся сторон, то есть предмет договора; права, обязанности и ответственность сторон; условия и порядок выплаты процентов по кредиту, займу; наценки по финансированию; размер процентной ставки/наценки исключительно в годовом исчислении; ставки и/или тарифы за проведение операций; порядок внесения изменений в договор; сроки; санкции за невыполнение, несвоевременное выполнение условий договора; иные условия по договоренности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loyrynqdnb8n3gx5ul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Ограничение процентных ставок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предельно допустимого процента/наценки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предельно допустимой годовой эффективной процентной ставки займа ломбарда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Средневзвешенная номинальная процентная ставка по действующим кредитам/финансированию банков и иных финансово-кредитных организаций, лицензируемых и регулируемых Национальным банком Кыргызской Республики, рассчитывается Национальным банком Кыргызской Республики на полугодовой основе и публикуется на его официальном веб-сайте.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средневзвешенной ставки процента определяется Национальным банком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ростовщической деятельности в случае неисполнения обязательств заемщика перед кредитором изъятие залогового имущества заемщика производится исключительно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определении денежных и/или материальных обязательств заемщика перед кредитором размер неустойки (штрафов, пеней), начисленной за весь период действия кредита или займа/финансирования, не должен превышать 20 процентов от суммы выданного кредита или займа/финансирования, если иное не установлено банковским законодательством для поднадзорных Национальному банку Кыргызской Республики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определении в судебном порядке суммы задолженности заемщика по процентам согласно кредитному договору или договору займа, наценке по договору финансирования суд применяет предельно допустимый процент/наценку, определенный в соответствии с настоящим Законом на дату заключения договора, если более низкая процентная ставка по кредиту или займу/наценка по договору финансирования не установлена кредитным договором или договором займа/договором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вправе применять меры воздействия в соответствии с банковским законодательством Кыргызской Республики в отношении поднадзорных Национальному банку Кыргызской Республики лиц, если кредитным договором/договором финансирования определен размер ставки/наценки (в годовом, номинальном процентном значении) выше предельно допустимого процента.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guuqu5jg8vtnzrazju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7. Вступление в силу настоящего Закона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распространяется на отношения между кредитором и заемщиком по непогашенным кредитам и займам, возникшие до введения настоящего Закона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1ky1yrjbnegi58o5wkk" Type="http://schemas.openxmlformats.org/officeDocument/2006/relationships/hyperlink" Target="http://kodeks.duckdns.org/document/230008187" TargetMode="External"/><Relationship Id="rIdnl2jymgk4hnzkjb-zcyqk" Type="http://schemas.openxmlformats.org/officeDocument/2006/relationships/hyperlink" Target="http://kodeks.duckdns.org/document/230034391" TargetMode="External"/><Relationship Id="rIdwwpvbhfpqidh2wcfz_fqe" Type="http://schemas.openxmlformats.org/officeDocument/2006/relationships/hyperlink" Target="http://kodeks.duckdns.org/document/112428" TargetMode="External"/><Relationship Id="rIdmirzoxuzuo7ckh6qvnsm_" Type="http://schemas.openxmlformats.org/officeDocument/2006/relationships/hyperlink" Target="http://kodeks.duckdns.org/document/230034391" TargetMode="External"/><Relationship Id="rIdffwkddbtyltpq5ammaz7w" Type="http://schemas.openxmlformats.org/officeDocument/2006/relationships/hyperlink" Target="http://kodeks.duckdns.org/document/112213" TargetMode="External"/><Relationship Id="rIdshquycqaxl61diksyssmx" Type="http://schemas.openxmlformats.org/officeDocument/2006/relationships/hyperlink" Target="http://kodeks.duckdns.org/document/4" TargetMode="External"/><Relationship Id="rId9bz3vetw2ideh5lbkxgju" Type="http://schemas.openxmlformats.org/officeDocument/2006/relationships/hyperlink" Target="http://kodeks.duckdns.org/document/230034391" TargetMode="External"/><Relationship Id="rIdnslrv1xdt4ogplfbby-b7" Type="http://schemas.openxmlformats.org/officeDocument/2006/relationships/hyperlink" Target="http://kodeks.duckdns.org/document/230034391" TargetMode="External"/><Relationship Id="rIdiusqh3wuzsqnex84ryez5" Type="http://schemas.openxmlformats.org/officeDocument/2006/relationships/hyperlink" Target="http://kodeks.duckdns.org/document/230034391" TargetMode="External"/><Relationship Id="rIdhloyrynqdnb8n3gx5ulph" Type="http://schemas.openxmlformats.org/officeDocument/2006/relationships/hyperlink" Target="http://kodeks.duckdns.org/document/230034391" TargetMode="External"/><Relationship Id="rId-guuqu5jg8vtnzrazjulc" Type="http://schemas.openxmlformats.org/officeDocument/2006/relationships/hyperlink" Target="http://kodeks.duckdns.org/document/23003439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2026-09-23T09:36:06.508Z</dcterms:created>
  <dcterms:modified xsi:type="dcterms:W3CDTF">2026-09-23T09:36:06.508Z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