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  СИЛУ
 с 1 июля 2017 года в соответствии с </w:t>
      </w:r>
      <w:hyperlink w:history="1" r:id="rIdlht7ujjgevpp_yt8wgy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20 января 2017 года № 6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2013 года № 217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Гражданский процессуальный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процессуальный </w:t>
      </w:r>
      <w:hyperlink w:history="1" r:id="rIdnjbtgt0qz7sx5xutlyv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2000 г., № 3, ст.158)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s2aj6kgmvhko1hhb6ja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140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-ztuzwg7leq8xpumz9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140</w:t>
        </w:r>
      </w:hyperlink>
      <w:r>
        <w:rPr>
          <w:rFonts w:ascii="Arial" w:cs="Arial" w:eastAsia="Arial" w:hAnsi="Arial"/>
          <w:sz w:val="24"/>
          <w:szCs w:val="24"/>
        </w:rPr>
        <w:t xml:space="preserve">. Основания для обеспечения иска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заявлению лиц, участвующих в деле, суд может принять меры к обеспечению иска. Обеспечение иска допускается во всяком положении дела, если непринятие таких мер может затруднить или сделать невозможным исполнение решения суда, третейского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Меры по обеспечению иска, замена одного вида обеспечения иска другим, отмена обеспечения иска и все другие вопросы по обеспечению иска по заявлению стороны в третейском разбирательстве, которое рассматривается постоянно действующим третейским судом, производится по правилам, предусмотренным настоящей главой.".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Кодекс дополнить </w:t>
      </w:r>
      <w:hyperlink w:history="1" r:id="rIdfemznlgj6dkyjm42t54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141-1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w1vhukzjw52fqmno3pc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141-1</w:t>
        </w:r>
      </w:hyperlink>
      <w:r>
        <w:rPr>
          <w:rFonts w:ascii="Arial" w:cs="Arial" w:eastAsia="Arial" w:hAnsi="Arial"/>
          <w:sz w:val="24"/>
          <w:szCs w:val="24"/>
        </w:rPr>
        <w:t xml:space="preserve">. Заявление стороны третейского разбирательства об обеспечении иска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Заявление стороны третейского разбирательства об обеспечении иска подается по месту нахождения третейского суда либо по месту нахождения или месту жительства ответчика, либо месту нахождения имущества ответчика.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заявлению стороны третейского разбирательства об обеспечении иска прилагаются: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искового заявления, заверенная постоянно действующим третейским судом, где инициировано третейское разбирательство;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соглашения о передаче спора на разрешение третейским судом (третейское соглашение), удостоверенная нотариально.".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qgzz13qbehqyr1waczg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146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В случае обжалования определения суда по вопросам обеспечения иска, вынесенного на основании заявления стороны в третейском разбирательстве, суд может истребовать из третейского суда надлежащим образом заверенные копии материалов дела, при чем только те материалы, которые необходимы для рассмотрения частной жалобы.".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1 </w:t>
      </w:r>
      <w:hyperlink w:history="1" r:id="rId4drzyoll3pmqukaqglj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420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Производство по делам о выдаче исполнительного листа на принудительное исполнение принятых на территории Кыргызской Республики решений третейских судов осуществляется судами по общим правилам гражданского судопроизводства с особенностями, установленными настоящей главой.".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</w:t>
      </w:r>
      <w:hyperlink w:history="1" r:id="rIdbut9wpvalp0ssv_r-qr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424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Определение суда об отказе в выдаче либо о выдаче исполнительного листа на принудительное исполнение решения третейского суда может быть обжаловано в вышестоящий суд.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Вышестоящий суд должен рассмотреть поступившее по жалобе дело не позднее двадцати дней со дня его поступления, за исключением жалобы в порядке надзора, которая подлежит рассмотрению в месячный срок со дня поступления.";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Жалоба на не вступившее в законную силу определение суда об отказе в выдаче либо о выдаче исполнительного листа на принудительное исполнение решения третейского суда может быть подана в течение десяти дней после вынесения судом определения в окончательной форме.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Жалоба на вступившее в законную силу определение суда об отказе в выдаче либо о выдаче исполнительного листа на принудительное исполнение решения третейского суда может быть подана в срок, не превышающий трех месяцев со дня вступления в силу определения суда.".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ht7ujjgevpp_yt8wgyd-" Type="http://schemas.openxmlformats.org/officeDocument/2006/relationships/hyperlink" Target="http://kodeks.duckdns.org/document/111513" TargetMode="External"/><Relationship Id="rIdnjbtgt0qz7sx5xutlyvu_" Type="http://schemas.openxmlformats.org/officeDocument/2006/relationships/hyperlink" Target="http://kodeks.duckdns.org/document/12" TargetMode="External"/><Relationship Id="rIds2aj6kgmvhko1hhb6jaig" Type="http://schemas.openxmlformats.org/officeDocument/2006/relationships/hyperlink" Target="http://kodeks.duckdns.org/document/12#&#1088;1" TargetMode="External"/><Relationship Id="rIdp-ztuzwg7leq8xpumz9qy" Type="http://schemas.openxmlformats.org/officeDocument/2006/relationships/hyperlink" Target="http://kodeks.duckdns.org/document/12#&#1088;1" TargetMode="External"/><Relationship Id="rIdfemznlgj6dkyjm42t54lr" Type="http://schemas.openxmlformats.org/officeDocument/2006/relationships/hyperlink" Target="http://kodeks.duckdns.org/document/12#&#1088;2" TargetMode="External"/><Relationship Id="rIdw1vhukzjw52fqmno3pc0e" Type="http://schemas.openxmlformats.org/officeDocument/2006/relationships/hyperlink" Target="http://kodeks.duckdns.org/document/12#&#1088;2" TargetMode="External"/><Relationship Id="rIdqgzz13qbehqyr1waczgee" Type="http://schemas.openxmlformats.org/officeDocument/2006/relationships/hyperlink" Target="http://kodeks.duckdns.org/document/12#&#1088;3" TargetMode="External"/><Relationship Id="rId4drzyoll3pmqukaqgljn0" Type="http://schemas.openxmlformats.org/officeDocument/2006/relationships/hyperlink" Target="http://kodeks.duckdns.org/document/12#&#1088;4" TargetMode="External"/><Relationship Id="rIdbut9wpvalp0ssv_r-qrda" Type="http://schemas.openxmlformats.org/officeDocument/2006/relationships/hyperlink" Target="http://kodeks.duckdns.org/document/12#&#1088;5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2026-09-23T00:27:29.709Z</dcterms:created>
  <dcterms:modified xsi:type="dcterms:W3CDTF">2026-09-23T00:27:29.709Z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