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box53tmarpz-9ug9o7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bcjwl31slndqtqwdnc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nnjl9o4ozguur9f7hg4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пятидесяти, на должностных лиц - в размере пятидесяти, на юридических лиц - в размере двухсот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ста, на должностных лиц - в размере ста пятидесяти, на юридических лиц - в размере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-hly3urztktzrksztap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q5rum8xem9jyppptv3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213-1</w:t>
        </w:r>
      </w:hyperlink>
      <w:r>
        <w:rPr>
          <w:rFonts w:ascii="Arial" w:cs="Arial" w:eastAsia="Arial" w:hAnsi="Arial"/>
          <w:sz w:val="24"/>
          <w:szCs w:val="24"/>
        </w:rPr>
        <w:t xml:space="preserve"> - 213-6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vhy_g_klrzgegtxtg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213-1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иностранным перевозчиком международных автомобильных перевозок без разрешения или без специального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иностранным перевозчиком международных автомобильных перевозок по территории Кыргызской Республики без разрешения или без специального разрешения, предусмотренных международными соглашениями,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двухсот расчетных показателей.</w:t>
      </w:r>
    </w:p>
    <w:p>
      <w:pPr>
        <w:spacing w:after="120"/>
        <w:jc w:val="both"/>
      </w:pPr>
      <w:hyperlink w:history="1" r:id="rIdbl2dskhaoxasbf3921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213-2</w:t>
        </w:r>
      </w:hyperlink>
      <w:r>
        <w:rPr>
          <w:rFonts w:ascii="Arial" w:cs="Arial" w:eastAsia="Arial" w:hAnsi="Arial"/>
          <w:sz w:val="24"/>
          <w:szCs w:val="24"/>
        </w:rPr>
        <w:t xml:space="preserve">. Отклонение от установленного маршрута движения при перевозке грузов и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от установленного маршрута движения при перевозке грузов и пассажиров в международном сообщении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hyperlink w:history="1" r:id="rIdmnxe-_cuzi1x6a1gl_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213-3</w:t>
        </w:r>
      </w:hyperlink>
      <w:r>
        <w:rPr>
          <w:rFonts w:ascii="Arial" w:cs="Arial" w:eastAsia="Arial" w:hAnsi="Arial"/>
          <w:sz w:val="24"/>
          <w:szCs w:val="24"/>
        </w:rPr>
        <w:t xml:space="preserve">. Отсутствие списка пассажиров при осуществлении международных нерегулярных пассажирских перевозок автомобильным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списка пассажиров при осуществлении нерегулярных международных пассажирских перевозок автомобильным транспортом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юридических лиц - в размере двухсот расчетных показателей.</w:t>
      </w:r>
    </w:p>
    <w:p>
      <w:pPr>
        <w:spacing w:after="120"/>
        <w:jc w:val="both"/>
      </w:pPr>
      <w:hyperlink w:history="1" r:id="rIdx6kuhkcdbbudsx6isl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213-4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иностранным перевозчиком автомобильной перевозки между пунктами, расположенными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иностранным перевозчиком автомобильной перевозки между пунктами, расположенными на территории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показателей.</w:t>
      </w:r>
    </w:p>
    <w:p>
      <w:pPr>
        <w:spacing w:after="120"/>
        <w:jc w:val="both"/>
      </w:pPr>
      <w:hyperlink w:history="1" r:id="rId6ucjdorzgwna7dwqbm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213-5</w:t>
        </w:r>
      </w:hyperlink>
      <w:r>
        <w:rPr>
          <w:rFonts w:ascii="Arial" w:cs="Arial" w:eastAsia="Arial" w:hAnsi="Arial"/>
          <w:sz w:val="24"/>
          <w:szCs w:val="24"/>
        </w:rPr>
        <w:t xml:space="preserve">. Несоблюдение установленных весогабаритных норм транспортных средств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весогабаритных норм транспортных средств на территории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должностных лиц - в размере двухсот расчетных показателей, на юридических лиц - в размере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 с лишением права управления транспортными средствами сроком на один год, на должностных лиц - в размере двухсот расчетных показателей с отстранением должностного лица от занимаемой должности, на юридических лиц - в размере тысячи расчетных показателей.</w:t>
      </w:r>
    </w:p>
    <w:p>
      <w:pPr>
        <w:spacing w:after="120"/>
        <w:jc w:val="both"/>
      </w:pPr>
      <w:hyperlink w:history="1" r:id="rIdtf_y6gvbszg2htixhx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правил организации пассажирских перевозок автовокзалами, автостанциями и автокассами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правил организации пассажирских перевозок автовокзалами, автостанциями и автокассами, независимо от форм 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двадцати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</w:t>
      </w:r>
      <w:hyperlink w:history="1" r:id="rId9xws41dwtjmeyx5pbhi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"сотрудника органа внутренних дел" заменить словами "сотрудников органа внутренних дел и уполномоченного государственного органа в сфере регулирования и контроля деятельности на автомобильном и водном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nyykrj5sqxvyoqvtlu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хозяйствующими субъектами требований безопасной эксплуатации водных аттракционов, проката водного транспорта, норм базирования плавучих средств в пляжной зоне, на территории здравниц, пансионатов, домов отдыха, детских оздоровительных центров и других мест общественного купания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двадцати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</w:t>
      </w:r>
      <w:hyperlink w:history="1" r:id="rIdhpic8rbzrc_l0xz0yix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"151-157," дополнить словами "частью второй статьи 213-5,".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srusjr60ysktdww4ijo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3z31rwteqwxelty0w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516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 автомобильного и водного транспорта, электротранспорта и дорожного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автомобильного и водного транспорта, электротранспорта и дорожного хозяйства Кыргызской Республики рассматривают дела об административных правонарушениях, предусмотренных статьями 169, 211-213, 213-1 - 213-6, 215, 217, 222, частью первой статьи 234, 259-265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контролеры-ревизоры пассажирского городского, междугородного, международного автомобильного транспорта и электротранспорта;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регулирования и контроля деятельности на автомобильном и водном транспорте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областных и территориальных управлений уполномоченного государственного органа в сфере регулирования и контроля деятельности на автомобильном и водном транспорте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инспекторы уполномоченного государственного органа в сфере регулирования и контроля деятельности на автомобильном и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управления автомобильными дорогами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pvy5vmfqkcd4id0oih-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518-1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девятнадцатый подпункта 1 пункта 1 </w:t>
      </w:r>
      <w:hyperlink w:history="1" r:id="rId72gfg_sszgxad9alos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msgwnjvzzqljzjtd1a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564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должностными лицами уполномоченного государственного органа в сфере регулирования и контроля деятельности на автомобильном и водном транспорте - при совершении нарушений международных соглашений и транспортного законодательства, выявленных на пунктах пропуска через государственную границу и на стационарных внутренних постах.".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x53tmarpz-9ug9o7prt" Type="http://schemas.openxmlformats.org/officeDocument/2006/relationships/hyperlink" Target="http://kodeks.duckdns.org/document/111565" TargetMode="External"/><Relationship Id="rIdqbcjwl31slndqtqwdncm7" Type="http://schemas.openxmlformats.org/officeDocument/2006/relationships/hyperlink" Target="http://kodeks.duckdns.org/document/6" TargetMode="External"/><Relationship Id="rIdnnjl9o4ozguur9f7hg40-" Type="http://schemas.openxmlformats.org/officeDocument/2006/relationships/hyperlink" Target="http://kodeks.duckdns.org/document/6#&#1088;213" TargetMode="External"/><Relationship Id="rId-hly3urztktzrksztapr0" Type="http://schemas.openxmlformats.org/officeDocument/2006/relationships/hyperlink" Target="http://kodeks.duckdns.org/document/6" TargetMode="External"/><Relationship Id="rIdq5rum8xem9jyppptv3pul" Type="http://schemas.openxmlformats.org/officeDocument/2006/relationships/hyperlink" Target="http://kodeks.duckdns.org/document/6#&#1088;2131" TargetMode="External"/><Relationship Id="rIdavhy_g_klrzgegtxtg9ud" Type="http://schemas.openxmlformats.org/officeDocument/2006/relationships/hyperlink" Target="http://kodeks.duckdns.org/document/6#&#1088;2131" TargetMode="External"/><Relationship Id="rIdbl2dskhaoxasbf3921gjv" Type="http://schemas.openxmlformats.org/officeDocument/2006/relationships/hyperlink" Target="http://kodeks.duckdns.org/document/6#&#1088;2132" TargetMode="External"/><Relationship Id="rIdmnxe-_cuzi1x6a1gl_dis" Type="http://schemas.openxmlformats.org/officeDocument/2006/relationships/hyperlink" Target="http://kodeks.duckdns.org/document/6#&#1088;2133" TargetMode="External"/><Relationship Id="rIdx6kuhkcdbbudsx6islrjl" Type="http://schemas.openxmlformats.org/officeDocument/2006/relationships/hyperlink" Target="http://kodeks.duckdns.org/document/6#&#1088;2134" TargetMode="External"/><Relationship Id="rId6ucjdorzgwna7dwqbmonz" Type="http://schemas.openxmlformats.org/officeDocument/2006/relationships/hyperlink" Target="http://kodeks.duckdns.org/document/6#&#1088;2135" TargetMode="External"/><Relationship Id="rIdtf_y6gvbszg2htixhxkhg" Type="http://schemas.openxmlformats.org/officeDocument/2006/relationships/hyperlink" Target="http://kodeks.duckdns.org/document/6#&#1088;2136" TargetMode="External"/><Relationship Id="rId9xws41dwtjmeyx5pbhi9d" Type="http://schemas.openxmlformats.org/officeDocument/2006/relationships/hyperlink" Target="http://kodeks.duckdns.org/document/6#&#1088;234" TargetMode="External"/><Relationship Id="rIdnyykrj5sqxvyoqvtluouz" Type="http://schemas.openxmlformats.org/officeDocument/2006/relationships/hyperlink" Target="http://kodeks.duckdns.org/document/6#&#1088;262" TargetMode="External"/><Relationship Id="rIdhpic8rbzrc_l0xz0yix9q" Type="http://schemas.openxmlformats.org/officeDocument/2006/relationships/hyperlink" Target="http://kodeks.duckdns.org/document/6#&#1088;508" TargetMode="External"/><Relationship Id="rIdsrusjr60ysktdww4ijo4k" Type="http://schemas.openxmlformats.org/officeDocument/2006/relationships/hyperlink" Target="http://kodeks.duckdns.org/document/6#&#1088;516" TargetMode="External"/><Relationship Id="rIde3z31rwteqwxelty0wuee" Type="http://schemas.openxmlformats.org/officeDocument/2006/relationships/hyperlink" Target="http://kodeks.duckdns.org/document/6#&#1088;516" TargetMode="External"/><Relationship Id="rIdpvy5vmfqkcd4id0oih-z5" Type="http://schemas.openxmlformats.org/officeDocument/2006/relationships/hyperlink" Target="http://kodeks.duckdns.org/document/6#&#1088;5181" TargetMode="External"/><Relationship Id="rId72gfg_sszgxad9alosqub" Type="http://schemas.openxmlformats.org/officeDocument/2006/relationships/hyperlink" Target="http://kodeks.duckdns.org/document/6#&#1088;5561" TargetMode="External"/><Relationship Id="rIdmsgwnjvzzqljzjtd1ataq" Type="http://schemas.openxmlformats.org/officeDocument/2006/relationships/hyperlink" Target="http://kodeks.duckdns.org/document/6#&#1088;564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2026-09-23T08:20:27.792Z</dcterms:created>
  <dcterms:modified xsi:type="dcterms:W3CDTF">2026-09-23T08:20:27.792Z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