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8go2v2nnjg0g7wagzjq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8 мая 2013 года № 176-р</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3xglk_lgrzxlfggumwyum">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о финансировании по «Второму дополнительному финансированию для Второго проекта сельских инвестиций» между Кыргызской Республикой и Международной Ассоциацией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Проект</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Кредит № ___-KG</w:t>
      </w:r>
    </w:p>
    <w:p>
      <w:pPr>
        <w:spacing w:after="120"/>
        <w:ind w:firstLine="400"/>
        <w:jc w:val="right"/>
      </w:pPr>
      <w:r>
        <w:rPr>
          <w:rFonts w:ascii="Arial" w:cs="Arial" w:eastAsia="Arial" w:hAnsi="Arial"/>
          <w:sz w:val="24"/>
          <w:szCs w:val="24"/>
        </w:rPr>
        <w:t xml:space="preserve">Грант № ____-КG</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финансировании</w:t>
      </w:r>
    </w:p>
    <w:p>
      <w:pPr>
        <w:spacing w:after="240" w:before="200"/>
        <w:jc w:val="center"/>
      </w:pPr>
      <w:r>
        <w:rPr>
          <w:rFonts w:ascii="Arial" w:cs="Arial" w:eastAsia="Arial" w:hAnsi="Arial"/>
          <w:b/>
          <w:bCs/>
          <w:sz w:val="32"/>
          <w:szCs w:val="32"/>
        </w:rPr>
        <w:t xml:space="preserve">(Второе дополнительное финансирование для Второго проекта сельских инвестиций) между Кыргызской Республикой и Международной Ассоциацией Развития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Настоящее Соглашение от _____________ 2013 года заключено между Кыргызской Республикой («Получатель») и Международной Ассоциацией Развития («Ассоциация») с целью предоставления дополнительного финансирования для Первоначального Проекта (согласно определению в Приложении к настоящему Соглашению). Получатель и Ассоциация настоящим договариваются о нижеследующем: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w:t>
      </w:r>
      <w:r>
        <w:rPr>
          <w:rFonts w:ascii="Arial" w:cs="Arial" w:eastAsia="Arial" w:hAnsi="Arial"/>
          <w:sz w:val="24"/>
          <w:szCs w:val="24"/>
        </w:rPr>
        <w:t xml:space="preserve"> Общие условия, определения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составляют неотъемлемую часть настоящего Соглашения.</w:t>
      </w:r>
    </w:p>
    <w:p>
      <w:pPr>
        <w:spacing w:after="120"/>
        <w:ind w:firstLine="40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соответствующие значения, закрепленные за ними Общими условиями или Дополнением к настоящему Соглашению.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II.</w:t>
      </w:r>
      <w:r>
        <w:rPr>
          <w:rFonts w:ascii="Arial" w:cs="Arial" w:eastAsia="Arial" w:hAnsi="Arial"/>
          <w:sz w:val="24"/>
          <w:szCs w:val="24"/>
        </w:rPr>
        <w:t xml:space="preserve"> Финансирование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2.01. Ассоциация согласна предоставить Получателю на срок и на условиях, излагаемых или упоминаемых в рамках настоящего Соглашения, грант и кредит (совместно именуемые «Финансирование») в следующих размерах для содействия финансированию проекта, описываемого и Приложении 1 к настоящему Соглашению («Проект»):</w:t>
      </w:r>
    </w:p>
    <w:p>
      <w:pPr>
        <w:spacing w:after="120"/>
        <w:ind w:firstLine="400"/>
        <w:jc w:val="both"/>
      </w:pPr>
      <w:r>
        <w:rPr>
          <w:rFonts w:ascii="Arial" w:cs="Arial" w:eastAsia="Arial" w:hAnsi="Arial"/>
          <w:sz w:val="24"/>
          <w:szCs w:val="24"/>
        </w:rPr>
        <w:t xml:space="preserve">(a) сумма, эквивалентная одному миллиону тремстам тысячам специальных прав заимствования (СПЗ 1300000) («Грант»); и</w:t>
      </w:r>
    </w:p>
    <w:p>
      <w:pPr>
        <w:spacing w:after="120"/>
        <w:ind w:firstLine="400"/>
        <w:jc w:val="both"/>
      </w:pPr>
      <w:r>
        <w:rPr>
          <w:rFonts w:ascii="Arial" w:cs="Arial" w:eastAsia="Arial" w:hAnsi="Arial"/>
          <w:sz w:val="24"/>
          <w:szCs w:val="24"/>
        </w:rPr>
        <w:t xml:space="preserve">(b) сумма, эквивалентная одному миллиону пятистам тысячам специальных прав заимствования (СПЗ 1500000) («Кредит»).</w:t>
      </w:r>
    </w:p>
    <w:p>
      <w:pPr>
        <w:spacing w:after="120"/>
        <w:ind w:firstLine="400"/>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IV Приложения 2 к настоящему Соглашению.</w:t>
      </w:r>
    </w:p>
    <w:p>
      <w:pPr>
        <w:spacing w:after="120"/>
        <w:ind w:firstLine="400"/>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120"/>
        <w:ind w:firstLine="400"/>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120"/>
        <w:ind w:firstLine="400"/>
        <w:jc w:val="both"/>
      </w:pPr>
      <w:r>
        <w:rPr>
          <w:rFonts w:ascii="Arial" w:cs="Arial" w:eastAsia="Arial" w:hAnsi="Arial"/>
          <w:sz w:val="24"/>
          <w:szCs w:val="24"/>
        </w:rPr>
        <w:t xml:space="preserve">2.05. Сроками выплаты являются 15 февраля и 15 августа каждого года.</w:t>
      </w:r>
    </w:p>
    <w:p>
      <w:pPr>
        <w:spacing w:after="120"/>
        <w:ind w:firstLine="400"/>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120"/>
        <w:ind w:firstLine="400"/>
        <w:jc w:val="both"/>
      </w:pPr>
      <w:r>
        <w:rPr>
          <w:rFonts w:ascii="Arial" w:cs="Arial" w:eastAsia="Arial" w:hAnsi="Arial"/>
          <w:sz w:val="24"/>
          <w:szCs w:val="24"/>
        </w:rPr>
        <w:t xml:space="preserve">2.07. Валютой платежей является доллар Соединенных Штатов Америки.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III.</w:t>
      </w:r>
      <w:r>
        <w:rPr>
          <w:rFonts w:ascii="Arial" w:cs="Arial" w:eastAsia="Arial" w:hAnsi="Arial"/>
          <w:sz w:val="24"/>
          <w:szCs w:val="24"/>
        </w:rPr>
        <w:t xml:space="preserve"> Проект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3.01. Получатель настоящим заявляет о своем обязательстве по выполнению задач Проекта. С этой целью Получатель обеспечивает реализацию Проекта Исполнительным агентством Проекта в соответствии с положениями Статьи IV Общих условий и Соглашением о Проекте.</w:t>
      </w:r>
    </w:p>
    <w:p>
      <w:pPr>
        <w:spacing w:after="120"/>
        <w:ind w:firstLine="400"/>
        <w:jc w:val="both"/>
      </w:pPr>
      <w:r>
        <w:rPr>
          <w:rFonts w:ascii="Arial" w:cs="Arial" w:eastAsia="Arial" w:hAnsi="Arial"/>
          <w:sz w:val="24"/>
          <w:szCs w:val="24"/>
        </w:rPr>
        <w:t xml:space="preserve">3.02. Без ограничений в отношении положений Раздела 3.01 настоящего Соглашения, и в отсутствие иных договоренностей между Получателем и Ассоциацией, Получатель обеспечивает реализацию Проекта в соответствии с положениями Приложения 2 к настоящему Соглашению.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IV.</w:t>
      </w:r>
      <w:r>
        <w:rPr>
          <w:rFonts w:ascii="Arial" w:cs="Arial" w:eastAsia="Arial" w:hAnsi="Arial"/>
          <w:sz w:val="24"/>
          <w:szCs w:val="24"/>
        </w:rPr>
        <w:t xml:space="preserve"> Средства правовой защиты Ассоциации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4.01. Дополнительное событие, влекущее приостановку деятельности, заключается в следующем: изменение, приостановка действия, отмена, объявление недействительным или отказ от исполнения законодательства об Исполнительном агентстве Проекта, существенно и негативно сказывающиеся на возможности выполнения Исполнительным агентством Проекта каких-либо из своих обязательств, предусматриваемых Соглашением о Проекте.</w:t>
      </w:r>
    </w:p>
    <w:p>
      <w:pPr>
        <w:spacing w:after="120"/>
        <w:ind w:firstLine="400"/>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наступление и продолжение события, указанного в Разделе 4.01 настоящего Соглашения, в течение 30 (тридцати) дней после уведомления Получателя Ассоциацией о наступлении такового.</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V. </w:t>
      </w:r>
      <w:r>
        <w:rPr>
          <w:rFonts w:ascii="Arial" w:cs="Arial" w:eastAsia="Arial" w:hAnsi="Arial"/>
          <w:sz w:val="24"/>
          <w:szCs w:val="24"/>
        </w:rPr>
        <w:t xml:space="preserve">Вступление в силу, прекращение действия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5.01. Дополнительные условия вступления в силу заключаются в следующем:</w:t>
      </w:r>
    </w:p>
    <w:p>
      <w:pPr>
        <w:spacing w:after="120"/>
        <w:ind w:firstLine="400"/>
        <w:jc w:val="both"/>
      </w:pPr>
      <w:r>
        <w:rPr>
          <w:rFonts w:ascii="Arial" w:cs="Arial" w:eastAsia="Arial" w:hAnsi="Arial"/>
          <w:sz w:val="24"/>
          <w:szCs w:val="24"/>
        </w:rPr>
        <w:t xml:space="preserve">(a) Заключение Субсидиарного соглашения от имени Получателя и Исполнительного агентства Проекта.</w:t>
      </w:r>
    </w:p>
    <w:p>
      <w:pPr>
        <w:spacing w:after="120"/>
        <w:ind w:firstLine="400"/>
        <w:jc w:val="both"/>
      </w:pPr>
      <w:r>
        <w:rPr>
          <w:rFonts w:ascii="Arial" w:cs="Arial" w:eastAsia="Arial" w:hAnsi="Arial"/>
          <w:sz w:val="24"/>
          <w:szCs w:val="24"/>
        </w:rPr>
        <w:t xml:space="preserve">(b) Привлечение Исполнительным агентством Проекта приемлемого для Ассоциации консультанта для составления детальной проектно-сметной документации на проведение ремонтных работ, финансируемых в рамках Части II.А Проекта.</w:t>
      </w:r>
    </w:p>
    <w:p>
      <w:pPr>
        <w:spacing w:after="120"/>
        <w:ind w:firstLine="400"/>
        <w:jc w:val="both"/>
      </w:pPr>
      <w:r>
        <w:rPr>
          <w:rFonts w:ascii="Arial" w:cs="Arial" w:eastAsia="Arial" w:hAnsi="Arial"/>
          <w:sz w:val="24"/>
          <w:szCs w:val="24"/>
        </w:rPr>
        <w:t xml:space="preserve">(c) Подготовка Исполнительным агентством удовлетворяющего требованиям Ассоциации Технического задания на проведение технического надзора за производством ремонтных работ.</w:t>
      </w:r>
    </w:p>
    <w:p>
      <w:pPr>
        <w:spacing w:after="120"/>
        <w:ind w:firstLine="400"/>
        <w:jc w:val="both"/>
      </w:pPr>
      <w:r>
        <w:rPr>
          <w:rFonts w:ascii="Arial" w:cs="Arial" w:eastAsia="Arial" w:hAnsi="Arial"/>
          <w:sz w:val="24"/>
          <w:szCs w:val="24"/>
        </w:rPr>
        <w:t xml:space="preserve">5.02. Дополнительный юридический вопрос заключается в следующем: Субсидиарное соглашение должным образом исполнено Получателем и Исполнительным агентством Проекта и является юридически обязательным для Получателя и Исполнительного Проекта в соответствии с изложенными в нем условиями.</w:t>
      </w:r>
    </w:p>
    <w:p>
      <w:pPr>
        <w:spacing w:after="120"/>
        <w:ind w:firstLine="400"/>
        <w:jc w:val="both"/>
      </w:pPr>
      <w:r>
        <w:rPr>
          <w:rFonts w:ascii="Arial" w:cs="Arial" w:eastAsia="Arial" w:hAnsi="Arial"/>
          <w:sz w:val="24"/>
          <w:szCs w:val="24"/>
        </w:rPr>
        <w:t xml:space="preserve">5.03. Окончательный срок вступления в силу составляет девяносто (90) дней с момента заключения настоящего Соглашения.</w:t>
      </w:r>
    </w:p>
    <w:p>
      <w:pPr>
        <w:spacing w:after="120"/>
        <w:ind w:firstLine="400"/>
        <w:jc w:val="both"/>
      </w:pPr>
      <w:r>
        <w:rPr>
          <w:rFonts w:ascii="Arial" w:cs="Arial" w:eastAsia="Arial" w:hAnsi="Arial"/>
          <w:sz w:val="24"/>
          <w:szCs w:val="24"/>
        </w:rPr>
        <w:t xml:space="preserve">5.04. С целью соблюдения положений Раздела 8.05 (Ь) Общих условий, срок окончания действия обязательств Получателя в рамках настоящего Соглашения (за исключением обязательств по платежам) составляет двадцать (20) лет с момента подписания настоящего Соглашения.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VI.</w:t>
      </w:r>
      <w:r>
        <w:rPr>
          <w:rFonts w:ascii="Arial" w:cs="Arial" w:eastAsia="Arial" w:hAnsi="Arial"/>
          <w:sz w:val="24"/>
          <w:szCs w:val="24"/>
        </w:rPr>
        <w:t xml:space="preserve"> Представитель, юридические адреса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6.01. Представителем Получателя является министр финансов Получателя.</w:t>
      </w:r>
    </w:p>
    <w:p>
      <w:pPr>
        <w:spacing w:after="120"/>
        <w:ind w:firstLine="400"/>
        <w:jc w:val="both"/>
      </w:pPr>
      <w:r>
        <w:rPr>
          <w:rFonts w:ascii="Arial" w:cs="Arial" w:eastAsia="Arial" w:hAnsi="Arial"/>
          <w:sz w:val="24"/>
          <w:szCs w:val="24"/>
        </w:rPr>
        <w:t xml:space="preserve">6.02. Адрес Получателя:</w:t>
      </w:r>
    </w:p>
    <w:p>
      <w:pPr>
        <w:spacing w:after="120"/>
        <w:ind w:firstLine="400"/>
        <w:jc w:val="both"/>
      </w:pPr>
      <w:r>
        <w:rPr>
          <w:rFonts w:ascii="Arial" w:cs="Arial" w:eastAsia="Arial" w:hAnsi="Arial"/>
          <w:sz w:val="24"/>
          <w:szCs w:val="24"/>
        </w:rPr>
        <w:t xml:space="preserve">Министерство финансов</w:t>
      </w:r>
    </w:p>
    <w:p>
      <w:pPr>
        <w:spacing w:after="120"/>
        <w:ind w:firstLine="400"/>
        <w:jc w:val="both"/>
      </w:pPr>
      <w:r>
        <w:rPr>
          <w:rFonts w:ascii="Arial" w:cs="Arial" w:eastAsia="Arial" w:hAnsi="Arial"/>
          <w:sz w:val="24"/>
          <w:szCs w:val="24"/>
        </w:rPr>
        <w:t xml:space="preserve">бульвар Эркиндик, 58</w:t>
      </w:r>
    </w:p>
    <w:p>
      <w:pPr>
        <w:spacing w:after="120"/>
        <w:ind w:firstLine="400"/>
        <w:jc w:val="both"/>
      </w:pPr>
      <w:r>
        <w:rPr>
          <w:rFonts w:ascii="Arial" w:cs="Arial" w:eastAsia="Arial" w:hAnsi="Arial"/>
          <w:sz w:val="24"/>
          <w:szCs w:val="24"/>
        </w:rPr>
        <w:t xml:space="preserve">г.Бишкек, 720040</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Телекс: Факс:</w:t>
      </w:r>
    </w:p>
    <w:p>
      <w:pPr>
        <w:spacing w:after="120"/>
        <w:ind w:firstLine="400"/>
        <w:jc w:val="both"/>
      </w:pPr>
      <w:r>
        <w:rPr>
          <w:rFonts w:ascii="Arial" w:cs="Arial" w:eastAsia="Arial" w:hAnsi="Arial"/>
          <w:sz w:val="24"/>
          <w:szCs w:val="24"/>
        </w:rPr>
        <w:t xml:space="preserve">245-156 № UR KH (996-312) 661645</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6.03. </w:t>
      </w:r>
      <w:r>
        <w:rPr>
          <w:rFonts w:ascii="Arial" w:cs="Arial" w:eastAsia="Arial" w:hAnsi="Arial"/>
          <w:sz w:val="24"/>
          <w:szCs w:val="24"/>
        </w:rPr>
        <w:t xml:space="preserve">Адрес Ассоциации</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International Development Association</w:t>
      </w:r>
    </w:p>
    <w:p>
      <w:pPr>
        <w:spacing w:after="120"/>
        <w:ind w:firstLine="400"/>
        <w:jc w:val="both"/>
      </w:pPr>
      <w:r>
        <w:rPr>
          <w:rFonts w:ascii="Arial" w:cs="Arial" w:eastAsia="Arial" w:hAnsi="Arial"/>
          <w:sz w:val="24"/>
          <w:szCs w:val="24"/>
        </w:rPr>
        <w:t xml:space="preserve">1818 </w:t>
      </w:r>
      <w:r>
        <w:rPr>
          <w:rFonts w:ascii="Arial" w:cs="Arial" w:eastAsia="Arial" w:hAnsi="Arial"/>
          <w:sz w:val="24"/>
          <w:szCs w:val="24"/>
        </w:rPr>
        <w:t xml:space="preserve">Н</w:t>
      </w:r>
      <w:r>
        <w:rPr>
          <w:rFonts w:ascii="Arial" w:cs="Arial" w:eastAsia="Arial" w:hAnsi="Arial"/>
          <w:sz w:val="24"/>
          <w:szCs w:val="24"/>
        </w:rPr>
        <w:t xml:space="preserve"> Street, № .W.</w:t>
      </w:r>
    </w:p>
    <w:p>
      <w:pPr>
        <w:spacing w:after="120"/>
        <w:ind w:firstLine="400"/>
        <w:jc w:val="both"/>
      </w:pPr>
      <w:r>
        <w:rPr>
          <w:rFonts w:ascii="Arial" w:cs="Arial" w:eastAsia="Arial" w:hAnsi="Arial"/>
          <w:sz w:val="24"/>
          <w:szCs w:val="24"/>
        </w:rPr>
        <w:t xml:space="preserve">Washington, D.C. 20433</w:t>
      </w:r>
    </w:p>
    <w:p>
      <w:pPr>
        <w:spacing w:after="120"/>
        <w:ind w:firstLine="400"/>
        <w:jc w:val="both"/>
      </w:pPr>
      <w:r>
        <w:rPr>
          <w:rFonts w:ascii="Arial" w:cs="Arial" w:eastAsia="Arial" w:hAnsi="Arial"/>
          <w:sz w:val="24"/>
          <w:szCs w:val="24"/>
        </w:rPr>
        <w:t xml:space="preserve">United States of America</w:t>
      </w:r>
    </w:p>
    <w:p>
      <w:pPr>
        <w:spacing w:after="120"/>
        <w:ind w:firstLine="400"/>
        <w:jc w:val="both"/>
      </w:pPr>
      <w:r>
        <w:rPr>
          <w:rFonts w:ascii="Arial" w:cs="Arial" w:eastAsia="Arial" w:hAnsi="Arial"/>
          <w:sz w:val="24"/>
          <w:szCs w:val="24"/>
        </w:rPr>
        <w:t xml:space="preserve">Телеграфный адрес</w:t>
      </w:r>
      <w:r>
        <w:rPr>
          <w:rFonts w:ascii="Arial" w:cs="Arial" w:eastAsia="Arial" w:hAnsi="Arial"/>
          <w:sz w:val="24"/>
          <w:szCs w:val="24"/>
        </w:rPr>
        <w:t xml:space="preserve">: </w:t>
      </w: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I№ DEVAS 248423 (MCI) 1-202-477-6391</w:t>
      </w:r>
    </w:p>
    <w:p>
      <w:pPr>
        <w:spacing w:after="120"/>
        <w:ind w:firstLine="400"/>
        <w:jc w:val="both"/>
      </w:pPr>
      <w:r>
        <w:rPr>
          <w:rFonts w:ascii="Arial" w:cs="Arial" w:eastAsia="Arial" w:hAnsi="Arial"/>
          <w:sz w:val="24"/>
          <w:szCs w:val="24"/>
        </w:rPr>
        <w:t xml:space="preserve">Washington, D.C.</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Подписано в городе Бишкек, Кыргызская Республика, в вышеозначенный день и год.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от Международной Ассоциации Развития</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1</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Проекта</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Цели Проекта заключаются в содействии Получателю в: (а) улучшении управления и укреплении потенциала на местном уровне; (Ь) усилении обеспечения и доступа к основным инфраструктурным услугам; и (с) поддержке развития частных малых предприятий, находящихся в групповой собственности.</w:t>
      </w:r>
    </w:p>
    <w:p>
      <w:pPr>
        <w:spacing w:after="120"/>
        <w:ind w:firstLine="400"/>
        <w:jc w:val="both"/>
      </w:pPr>
      <w:r>
        <w:rPr>
          <w:rFonts w:ascii="Arial" w:cs="Arial" w:eastAsia="Arial" w:hAnsi="Arial"/>
          <w:sz w:val="24"/>
          <w:szCs w:val="24"/>
        </w:rPr>
        <w:t xml:space="preserve">Проект состоит из Первоначального Проекта, за исключением того, что финансирование, предусматриваемое настоящим Соглашением, не будет использоваться для финансирования части I Первоначального Проекта, и с учетом изменения части II следующим образом: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Часть II. Сельские инвестиции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Предоставление правомочным сообществам Грантов для сообществ для содействия им в реализации инвестиционных планов сообществ, и</w:t>
      </w:r>
    </w:p>
    <w:p>
      <w:pPr>
        <w:spacing w:after="120"/>
        <w:ind w:firstLine="400"/>
        <w:jc w:val="both"/>
      </w:pPr>
      <w:r>
        <w:rPr>
          <w:rFonts w:ascii="Arial" w:cs="Arial" w:eastAsia="Arial" w:hAnsi="Arial"/>
          <w:sz w:val="24"/>
          <w:szCs w:val="24"/>
        </w:rPr>
        <w:t xml:space="preserve">В. Работы по устранению дефектов конструкций отдельных объектов инфраструктуры в рамках микропроектов, финансировавшихся Первоначальным Проектом, посредством обеспечения работ, консультационных услуг и товаров.</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2</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Реализация Проекта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1. Механизмы Реализации</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Институциональные механизмы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 всем протяжении Проекта Получатель обеспечивает Исполнительное агентство Проекта кадрами, ресурсами и техническими заданиями, удовлетворяющими требованиям Ассоциации.</w:t>
      </w:r>
    </w:p>
    <w:p>
      <w:pPr>
        <w:spacing w:after="120"/>
        <w:ind w:firstLine="400"/>
        <w:jc w:val="both"/>
      </w:pPr>
      <w:r>
        <w:rPr>
          <w:rFonts w:ascii="Arial" w:cs="Arial" w:eastAsia="Arial" w:hAnsi="Arial"/>
          <w:sz w:val="24"/>
          <w:szCs w:val="24"/>
        </w:rPr>
        <w:t xml:space="preserve">2. Получатель не вносит изменений в законодательство об Исполнительном агентстве Проекта, без получения предварительного согласия Ассоциации, или не принуждает к этому Исполнительное агентство Проекта, а также возлагает на Исполнительное агентство ответственность за общее управление и координацию Проекта, включая, в числе прочего:</w:t>
      </w:r>
    </w:p>
    <w:p>
      <w:pPr>
        <w:spacing w:after="120"/>
        <w:ind w:firstLine="400"/>
        <w:jc w:val="both"/>
      </w:pPr>
      <w:r>
        <w:rPr>
          <w:rFonts w:ascii="Arial" w:cs="Arial" w:eastAsia="Arial" w:hAnsi="Arial"/>
          <w:sz w:val="24"/>
          <w:szCs w:val="24"/>
        </w:rPr>
        <w:t xml:space="preserve">(a) составление заявок на снятие средств в рамках Финансирования;</w:t>
      </w:r>
    </w:p>
    <w:p>
      <w:pPr>
        <w:spacing w:after="120"/>
        <w:ind w:firstLine="400"/>
        <w:jc w:val="both"/>
      </w:pPr>
      <w:r>
        <w:rPr>
          <w:rFonts w:ascii="Arial" w:cs="Arial" w:eastAsia="Arial" w:hAnsi="Arial"/>
          <w:sz w:val="24"/>
          <w:szCs w:val="24"/>
        </w:rPr>
        <w:t xml:space="preserve">(b) ведение учетных записей и счетов, связанных с Проектом, и организация аудиторской проверки таковых;</w:t>
      </w:r>
    </w:p>
    <w:p>
      <w:pPr>
        <w:spacing w:after="120"/>
        <w:ind w:firstLine="400"/>
        <w:jc w:val="both"/>
      </w:pPr>
      <w:r>
        <w:rPr>
          <w:rFonts w:ascii="Arial" w:cs="Arial" w:eastAsia="Arial" w:hAnsi="Arial"/>
          <w:sz w:val="24"/>
          <w:szCs w:val="24"/>
        </w:rPr>
        <w:t xml:space="preserve">(c) участие в администрировании процедур конкурсных торгов и контрактов в рамках Проекта; и</w:t>
      </w:r>
    </w:p>
    <w:p>
      <w:pPr>
        <w:spacing w:after="120"/>
        <w:ind w:firstLine="400"/>
        <w:jc w:val="both"/>
      </w:pPr>
      <w:r>
        <w:rPr>
          <w:rFonts w:ascii="Arial" w:cs="Arial" w:eastAsia="Arial" w:hAnsi="Arial"/>
          <w:sz w:val="24"/>
          <w:szCs w:val="24"/>
        </w:rPr>
        <w:t xml:space="preserve">(d) составление ежеквартальных Отчетов по Проекту в соответствии с параграфом А Раздела II настоящего Приложения.</w:t>
      </w:r>
    </w:p>
    <w:p>
      <w:pPr>
        <w:spacing w:after="120"/>
        <w:ind w:firstLine="400"/>
        <w:jc w:val="both"/>
      </w:pPr>
      <w:r>
        <w:rPr>
          <w:rFonts w:ascii="Arial" w:cs="Arial" w:eastAsia="Arial" w:hAnsi="Arial"/>
          <w:sz w:val="24"/>
          <w:szCs w:val="24"/>
        </w:rPr>
        <w:t xml:space="preserve">3. Получатель реализует и обеспечивает реализацию Исполнительным агентством Проекта, Проект в соответствии с положениями Операционного руководства. Если иное не предусмотрено Ассоциацией, Получатель или Исполнительное агентство Проекта не будет изменять, приостанавливать действие, объявлять недействительным, отменять или уклоняться от исполнения каких-либо положений означенного Операционного руководства в том случае, если, по мнению Ассоциации, такие изменения или отказ могут существенно сказаться на реализации Проекта или достижении целей Проекта.</w:t>
      </w:r>
    </w:p>
    <w:p>
      <w:pPr>
        <w:spacing w:after="120"/>
        <w:ind w:firstLine="400"/>
        <w:jc w:val="both"/>
      </w:pPr>
      <w:r>
        <w:rPr>
          <w:rFonts w:ascii="Arial" w:cs="Arial" w:eastAsia="Arial" w:hAnsi="Arial"/>
          <w:sz w:val="24"/>
          <w:szCs w:val="24"/>
        </w:rPr>
        <w:t xml:space="preserve">4. Получатель ведет и обеспечивает ведение Исполнительным агентством Проекта, Операционное руководство и обеспечивает, чтобы означенное Операционное руководство охватывало, в числе прочего, следующие вопросы: (а) критерии правомочности получения Грантов для сообществ и реализации микропроектов; (Ь) принципы и процедуры, соблюдение которых необходимо для одобрения Грантов для сообществ и Микропроектов; (с) региональное распределение средств финансирования;</w:t>
      </w:r>
    </w:p>
    <w:p>
      <w:pPr>
        <w:spacing w:after="120"/>
        <w:ind w:firstLine="400"/>
        <w:jc w:val="both"/>
      </w:pPr>
      <w:r>
        <w:rPr>
          <w:rFonts w:ascii="Arial" w:cs="Arial" w:eastAsia="Arial" w:hAnsi="Arial"/>
          <w:sz w:val="24"/>
          <w:szCs w:val="24"/>
        </w:rPr>
        <w:t xml:space="preserve">(d) требования относительно вклада сообществ в финансирование микропроектов; (е) индикаторы для мониторинга Исполнительным агентством хода реализации Проекта; и (f) процедуры закупок и проведения надзора при производстве работ по устранению выявленных дефектов.</w:t>
      </w:r>
    </w:p>
    <w:p>
      <w:pPr>
        <w:spacing w:after="120"/>
        <w:ind w:firstLine="400"/>
        <w:jc w:val="both"/>
      </w:pPr>
      <w:r>
        <w:rPr>
          <w:rFonts w:ascii="Arial" w:cs="Arial" w:eastAsia="Arial" w:hAnsi="Arial"/>
          <w:sz w:val="24"/>
          <w:szCs w:val="24"/>
        </w:rPr>
        <w:t xml:space="preserve">5. Получатель: (i) принимает все необходимые меры, включая обеспечение предоставления денежных средств, оборудования, услуг и других ресурсов, необходимых или подходящих для должной реализации Проекта Исполнительным агентством; и (ii) не принимает и не допускает принятия любых мер, которые могли бы воспрепятствовать или помешать реализации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Субсидиарное соглашение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 целях содействия реализации Проекта Получатель предоставляет средства финансирования Исполнительному агентству Проекта в рамках Субсидиарного соглашения между Получателем и Исполнительным агентством Проекта, в соответствии с утвержденными Ассоциацией условиями («Субсидиарное соглашение»).</w:t>
      </w:r>
    </w:p>
    <w:p>
      <w:pPr>
        <w:spacing w:after="120"/>
        <w:ind w:firstLine="400"/>
        <w:jc w:val="both"/>
      </w:pPr>
      <w:r>
        <w:rPr>
          <w:rFonts w:ascii="Arial" w:cs="Arial" w:eastAsia="Arial" w:hAnsi="Arial"/>
          <w:sz w:val="24"/>
          <w:szCs w:val="24"/>
        </w:rPr>
        <w:t xml:space="preserve">2. Получатель осуществляет свои права в рамках Субсидиарного соглашения для обеспечения защиты интересов Получателя и Ассоциации, а также для достижения целей финансирования. Если иное не согласовано с Ассоциацией, Получатель не может переуступать, изменять, аннулировать или отказываться от исполнения Субсидиарного соглашения или каких-либо из его положений.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C. Предотвращение коррупции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Получатель обеспечивает реализацию Проекта в соответствии с положениями Руководства по предотвращению коррупции.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D. Микропроекты в рамках части II.А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обеспечивает предоставление Исполнительным агентством Проекта Грантов для сообществ в рамках части II Проекта, в соответствии с приемлемыми для Ассоциации критериями правомочности и процедурами, включая критерии правомочности, процедуры, сроки и условия, установленные или упоминаемые в Операционном руководстве.</w:t>
      </w:r>
    </w:p>
    <w:p>
      <w:pPr>
        <w:spacing w:after="120"/>
        <w:ind w:firstLine="400"/>
        <w:jc w:val="both"/>
      </w:pPr>
      <w:r>
        <w:rPr>
          <w:rFonts w:ascii="Arial" w:cs="Arial" w:eastAsia="Arial" w:hAnsi="Arial"/>
          <w:sz w:val="24"/>
          <w:szCs w:val="24"/>
        </w:rPr>
        <w:t xml:space="preserve">2. При предоставлении Грантов для сообществ Получатель обеспечиваем заключение Исполнительным агентством Проекта Соглашения о Гранте для сообщества с каждым Бенефициаром, в соответствии с утвержденными Ассоциацией сроками и условиями, включая следующее:</w:t>
      </w:r>
    </w:p>
    <w:p>
      <w:pPr>
        <w:spacing w:after="120"/>
        <w:ind w:firstLine="400"/>
        <w:jc w:val="both"/>
      </w:pPr>
      <w:r>
        <w:rPr>
          <w:rFonts w:ascii="Arial" w:cs="Arial" w:eastAsia="Arial" w:hAnsi="Arial"/>
          <w:sz w:val="24"/>
          <w:szCs w:val="24"/>
        </w:rPr>
        <w:t xml:space="preserve">(a) Суммы Грантов для сообществ выражаются в кыргызских сомах.</w:t>
      </w:r>
    </w:p>
    <w:p>
      <w:pPr>
        <w:spacing w:after="120"/>
        <w:ind w:firstLine="400"/>
        <w:jc w:val="both"/>
      </w:pPr>
      <w:r>
        <w:rPr>
          <w:rFonts w:ascii="Arial" w:cs="Arial" w:eastAsia="Arial" w:hAnsi="Arial"/>
          <w:sz w:val="24"/>
          <w:szCs w:val="24"/>
        </w:rPr>
        <w:t xml:space="preserve">(b) Получатель получает права, достаточные для защиты своих интересов и интересов Ассоциации, включая право: (i) приостанавливать или прекращать право Бенефициара на использование Грантов для сообществ, или получать полное или частичное возмещение суммы выплаченного Гранта для сообщества в случае невыполнения Бенефициаром какого-либо из своих обязательств, определенных Соглашением о Гранте для сообщества; и (ii) требовать от каждого Бенефициара:</w:t>
      </w:r>
    </w:p>
    <w:p>
      <w:pPr>
        <w:spacing w:after="120"/>
        <w:ind w:firstLine="400"/>
        <w:jc w:val="both"/>
      </w:pPr>
      <w:r>
        <w:rPr>
          <w:rFonts w:ascii="Arial" w:cs="Arial" w:eastAsia="Arial" w:hAnsi="Arial"/>
          <w:sz w:val="24"/>
          <w:szCs w:val="24"/>
        </w:rPr>
        <w:t xml:space="preserve">(А) тщательной и эффективной реализации своего микропроекта и соответствии с обоснованными техническими, экономическими, финансовыми, административными, экологическими и социальными стандартами и практическими методами, удовлетворяющими требованиям Ассоциации, в том числе, в соответствии с положениями Руководства по предотвращению коррупции, ПМООС, Основами политики отвода земель и соответствующим Планом или Планами отвода земель;</w:t>
      </w:r>
    </w:p>
    <w:p>
      <w:pPr>
        <w:spacing w:after="120"/>
        <w:ind w:firstLine="400"/>
        <w:jc w:val="both"/>
      </w:pPr>
      <w:r>
        <w:rPr>
          <w:rFonts w:ascii="Arial" w:cs="Arial" w:eastAsia="Arial" w:hAnsi="Arial"/>
          <w:sz w:val="24"/>
          <w:szCs w:val="24"/>
        </w:rPr>
        <w:t xml:space="preserve">(B) без ограничения общего смысла положений предшествующего параграфа (i), требовать от Бенефициара надлежащего выполнения и управления микропроектом с учетом сопутствующих норм социального воздействия, охраны окружающей среды и контроля над загрязнением окружающей среды, а также в соответствии с положениями Операционного руководства;</w:t>
      </w:r>
    </w:p>
    <w:p>
      <w:pPr>
        <w:spacing w:after="120"/>
        <w:ind w:firstLine="400"/>
        <w:jc w:val="both"/>
      </w:pPr>
      <w:r>
        <w:rPr>
          <w:rFonts w:ascii="Arial" w:cs="Arial" w:eastAsia="Arial" w:hAnsi="Arial"/>
          <w:sz w:val="24"/>
          <w:szCs w:val="24"/>
        </w:rPr>
        <w:t xml:space="preserve">(C) для микропроектов, которым требуется ПМООС или План отвода земель, требовать от Бенефициара составления и своевременного выполнения таких планов;</w:t>
      </w:r>
    </w:p>
    <w:p>
      <w:pPr>
        <w:spacing w:after="120"/>
        <w:ind w:firstLine="400"/>
        <w:jc w:val="both"/>
      </w:pPr>
      <w:r>
        <w:rPr>
          <w:rFonts w:ascii="Arial" w:cs="Arial" w:eastAsia="Arial" w:hAnsi="Arial"/>
          <w:sz w:val="24"/>
          <w:szCs w:val="24"/>
        </w:rPr>
        <w:t xml:space="preserve">(D) своевременного предоставления ресурсов, требуемых для целей микропроектов;</w:t>
      </w:r>
    </w:p>
    <w:p>
      <w:pPr>
        <w:spacing w:after="120"/>
        <w:ind w:firstLine="400"/>
        <w:jc w:val="both"/>
      </w:pPr>
      <w:r>
        <w:rPr>
          <w:rFonts w:ascii="Arial" w:cs="Arial" w:eastAsia="Arial" w:hAnsi="Arial"/>
          <w:sz w:val="24"/>
          <w:szCs w:val="24"/>
        </w:rPr>
        <w:t xml:space="preserve">(E) закупки товаров, работ и услуг, подлежащих финансированию из средств Гранта для сообщества в соответствии с положениями настоящего Соглашения;</w:t>
      </w:r>
    </w:p>
    <w:p>
      <w:pPr>
        <w:spacing w:after="120"/>
        <w:ind w:firstLine="400"/>
        <w:jc w:val="both"/>
      </w:pPr>
      <w:r>
        <w:rPr>
          <w:rFonts w:ascii="Arial" w:cs="Arial" w:eastAsia="Arial" w:hAnsi="Arial"/>
          <w:sz w:val="24"/>
          <w:szCs w:val="24"/>
        </w:rPr>
        <w:t xml:space="preserve">(F) проведения соответствующей политики и процедур, необходимых ему тля осуществления мониторинга и оценки, в соответствии с приемлемыми для Ассоциации индикаторами, прогресса в части реализации микропроекта и достижения его целей;</w:t>
      </w:r>
    </w:p>
    <w:p>
      <w:pPr>
        <w:spacing w:after="120"/>
        <w:ind w:firstLine="400"/>
        <w:jc w:val="both"/>
      </w:pPr>
      <w:r>
        <w:rPr>
          <w:rFonts w:ascii="Arial" w:cs="Arial" w:eastAsia="Arial" w:hAnsi="Arial"/>
          <w:sz w:val="24"/>
          <w:szCs w:val="24"/>
        </w:rPr>
        <w:t xml:space="preserve">(G) (1) обеспечения функционирования системы управления финансами и составления финансовой отчетности в соответствии с последовательно применяемыми стандартами учета, приемлемыми для Ассоциации, для отражения операций, ресурсов и расходов, связанных с микропроектом; и</w:t>
      </w:r>
    </w:p>
    <w:p>
      <w:pPr>
        <w:spacing w:after="120"/>
        <w:ind w:firstLine="400"/>
        <w:jc w:val="both"/>
      </w:pPr>
      <w:r>
        <w:rPr>
          <w:rFonts w:ascii="Arial" w:cs="Arial" w:eastAsia="Arial" w:hAnsi="Arial"/>
          <w:sz w:val="24"/>
          <w:szCs w:val="24"/>
        </w:rPr>
        <w:t xml:space="preserve">(2) организации, по требованию Ассоциации или Получателя, аудиторской проверки такой финансовой отчетности независимыми аудиторами, отвечающими требованиям Ассоциации, в соответствии с последовательно применяемыми стандартами аудита, приемлемыми для Ассоциации, и незамедлительного предоставления прошедшей такую аудиторскую проверку отчетности Получателю и Ассоциации;</w:t>
      </w:r>
    </w:p>
    <w:p>
      <w:pPr>
        <w:spacing w:after="120"/>
        <w:ind w:firstLine="400"/>
        <w:jc w:val="both"/>
      </w:pPr>
      <w:r>
        <w:rPr>
          <w:rFonts w:ascii="Arial" w:cs="Arial" w:eastAsia="Arial" w:hAnsi="Arial"/>
          <w:sz w:val="24"/>
          <w:szCs w:val="24"/>
        </w:rPr>
        <w:t xml:space="preserve">(H) предоставления Получателю и Ассоциации возможности проверять микропроект, его реализацию, а также любую учетную документацию и иные документы, касающиеся Гранта для сообщества;</w:t>
      </w:r>
    </w:p>
    <w:p>
      <w:pPr>
        <w:spacing w:after="120"/>
        <w:ind w:firstLine="400"/>
        <w:jc w:val="both"/>
      </w:pPr>
      <w:r>
        <w:rPr>
          <w:rFonts w:ascii="Arial" w:cs="Arial" w:eastAsia="Arial" w:hAnsi="Arial"/>
          <w:sz w:val="24"/>
          <w:szCs w:val="24"/>
        </w:rPr>
        <w:t xml:space="preserve">(I) подготовки и предоставления Получателю и Ассоциации обоснованно запрашиваемых Получателем или Ассоциацией сведений по вышеозначенным вопросам; и</w:t>
      </w:r>
    </w:p>
    <w:p>
      <w:pPr>
        <w:spacing w:after="120"/>
        <w:ind w:firstLine="400"/>
        <w:jc w:val="both"/>
      </w:pPr>
      <w:r>
        <w:rPr>
          <w:rFonts w:ascii="Arial" w:cs="Arial" w:eastAsia="Arial" w:hAnsi="Arial"/>
          <w:sz w:val="24"/>
          <w:szCs w:val="24"/>
        </w:rPr>
        <w:t xml:space="preserve">(J) временно приостанавливать или аннулировать право Бенефициара использовать средства Гранта для сообщества в связи с невыполнением таким Бенефициаром своих обязательств в рамках контракта с Получателем.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 Реализация части II. В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целях проведения ремонтно-исправительных мероприятий в рамках части II.В Проекта, Получатель обеспечивает выполнение Исполнительным агентством Проекта следующих действий:</w:t>
      </w:r>
    </w:p>
    <w:p>
      <w:pPr>
        <w:spacing w:after="120"/>
        <w:ind w:firstLine="400"/>
        <w:jc w:val="both"/>
      </w:pPr>
      <w:r>
        <w:rPr>
          <w:rFonts w:ascii="Arial" w:cs="Arial" w:eastAsia="Arial" w:hAnsi="Arial"/>
          <w:sz w:val="24"/>
          <w:szCs w:val="24"/>
        </w:rPr>
        <w:t xml:space="preserve">(i) осуществлять закупку консультационных услуг для подготовки проектно-сметной документации отобранных объектов и инфраструктуры, подлежащих реконструкции в рамках Проекта, и направляет полную проектно-сметную документацию в Ассоциации на рассмотрение и одобрение;</w:t>
      </w:r>
    </w:p>
    <w:p>
      <w:pPr>
        <w:spacing w:after="120"/>
        <w:ind w:firstLine="400"/>
        <w:jc w:val="both"/>
      </w:pPr>
      <w:r>
        <w:rPr>
          <w:rFonts w:ascii="Arial" w:cs="Arial" w:eastAsia="Arial" w:hAnsi="Arial"/>
          <w:sz w:val="24"/>
          <w:szCs w:val="24"/>
        </w:rPr>
        <w:t xml:space="preserve">(ii) осуществлять закупку работ по проведению ремонтных работ, используя типовые контракты, удовлетворяющие требованиям Банка, которые, без каких-либо ограничений, включают в себя соответствующие инженерно-технические нормы работ, а также содержат соответствующие положения об ответственности;</w:t>
      </w:r>
    </w:p>
    <w:p>
      <w:pPr>
        <w:spacing w:after="120"/>
        <w:ind w:firstLine="400"/>
        <w:jc w:val="both"/>
      </w:pPr>
      <w:r>
        <w:rPr>
          <w:rFonts w:ascii="Arial" w:cs="Arial" w:eastAsia="Arial" w:hAnsi="Arial"/>
          <w:sz w:val="24"/>
          <w:szCs w:val="24"/>
        </w:rPr>
        <w:t xml:space="preserve">(iii) осуществлять надзор за выполнением строительных работ, связанных с проводимой реконструкцией, при содействии инженеров, обладающих приемлемыми для Ассоциации опытом и квалификацией; и</w:t>
      </w:r>
    </w:p>
    <w:p>
      <w:pPr>
        <w:spacing w:after="120"/>
        <w:ind w:firstLine="400"/>
        <w:jc w:val="both"/>
      </w:pPr>
      <w:r>
        <w:rPr>
          <w:rFonts w:ascii="Arial" w:cs="Arial" w:eastAsia="Arial" w:hAnsi="Arial"/>
          <w:sz w:val="24"/>
          <w:szCs w:val="24"/>
        </w:rPr>
        <w:t xml:space="preserve">(iv) обеспечивать заверение надлежащими актами завершенных объектов соответствующими органами Получателя до осуществления окончательных выплат по контрактам.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F. Меры безопасности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реализует, и обеспечивает реализацию Исполнительным агентством Проекта, Проект в соответствии с положениями ПМООС, Основами политики отвода земель и соответствующими Планами отвода земель.</w:t>
      </w:r>
    </w:p>
    <w:p>
      <w:pPr>
        <w:spacing w:after="120"/>
        <w:ind w:firstLine="400"/>
        <w:jc w:val="both"/>
      </w:pPr>
      <w:r>
        <w:rPr>
          <w:rFonts w:ascii="Arial" w:cs="Arial" w:eastAsia="Arial" w:hAnsi="Arial"/>
          <w:sz w:val="24"/>
          <w:szCs w:val="24"/>
        </w:rPr>
        <w:t xml:space="preserve">2. Получатель не может и не позволяет Исполнительному агентству Проекта изменять, приостанавливать действие, объявлять недействительными, отменять или уклоняться от исполнения любых положений ПМООС, Рамочного документа по политике отвода земель или Плана отвода земель, без предварительного одобрения Ассоциацией.</w:t>
      </w:r>
    </w:p>
    <w:p>
      <w:pPr>
        <w:spacing w:after="120"/>
        <w:ind w:firstLine="400"/>
        <w:jc w:val="both"/>
      </w:pPr>
      <w:r>
        <w:rPr>
          <w:rFonts w:ascii="Arial" w:cs="Arial" w:eastAsia="Arial" w:hAnsi="Arial"/>
          <w:sz w:val="24"/>
          <w:szCs w:val="24"/>
        </w:rPr>
        <w:t xml:space="preserve">3. Не допускается реализация микропроектов и мер по устранению выявленных дефектов в рамках части II.В, связанных с отводом земель и/или переселением населения, без предварительного составления Исполнительным агентством Проекта Плана отвода земель для такого микропроекта или мер по устранению выявленных дефектов, форма и содержание которого должны удовлетворять требованиям Ассоциации и соответствовать положениям Основ политики отвода земель, и выполнения такого плана или планов удовлетворительным для Ассоциации образом.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Мониторинг, отчетность и оценка Проекта</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Отчеты по Проекту</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обеспечивает наблюдение и оценку Исполнительным агентством хода реализации Проекта, а также составление отчетов по Проекту в соответствии с положениями раздела 4.08 Общих условий и на основании приемлемых для Ассоциации индикаторов.</w:t>
      </w:r>
    </w:p>
    <w:p>
      <w:pPr>
        <w:spacing w:after="120"/>
        <w:ind w:firstLine="400"/>
        <w:jc w:val="both"/>
      </w:pPr>
      <w:r>
        <w:rPr>
          <w:rFonts w:ascii="Arial" w:cs="Arial" w:eastAsia="Arial" w:hAnsi="Arial"/>
          <w:sz w:val="24"/>
          <w:szCs w:val="24"/>
        </w:rPr>
        <w:t xml:space="preserve">2. Каждый отчет по Проекту охватывает период продолжительностью в один календарный квартал и направляется Ассоциации в течение 45 (сорока пяти) дней после завершения охватываемого таким отчетом периода.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Финансовое управление, финансовая отчетность и аудиты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ведет или обеспечивает ведение системы финансового управления в соответствии с положениями Раздела 4.09 Общих условий.</w:t>
      </w:r>
    </w:p>
    <w:p>
      <w:pPr>
        <w:spacing w:after="120"/>
        <w:ind w:firstLine="400"/>
        <w:jc w:val="both"/>
      </w:pPr>
      <w:r>
        <w:rPr>
          <w:rFonts w:ascii="Arial" w:cs="Arial" w:eastAsia="Arial" w:hAnsi="Arial"/>
          <w:sz w:val="24"/>
          <w:szCs w:val="24"/>
        </w:rPr>
        <w:t xml:space="preserve">2. Без каких-либо ограничений в отношении положений части А данного раздела, Получатель составляет и представляет, в рамках Отчета о Проекте, Ассоциации в течение 45 (сорока пяти) дней после окончания каждого календарного квартала промежуточные непроверенные квартальные финансовые отчеты по Проекту, форма и содержание которых должны удовлетворять требованиям Ассоциации, для включения в Отчет по Проекту.</w:t>
      </w:r>
    </w:p>
    <w:p>
      <w:pPr>
        <w:spacing w:after="120"/>
        <w:ind w:firstLine="400"/>
        <w:jc w:val="both"/>
      </w:pPr>
      <w:r>
        <w:rPr>
          <w:rFonts w:ascii="Arial" w:cs="Arial" w:eastAsia="Arial" w:hAnsi="Arial"/>
          <w:sz w:val="24"/>
          <w:szCs w:val="24"/>
        </w:rPr>
        <w:t xml:space="preserve">3. Получатель обеспечивает проведение аудиторской проверки своей финансовой отчетности в соответствии с положениями раздела 4.09(b) Общих условий. Каждая аудиторская проверка такой финансовой отчетности охватывает период продолжительностью в один финансовый год Исполнительного агентства Проекта. Финансовая отчетность за каждый такой период предоставляется Ассоциации в течение шести месяцев после завершения такого периода.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Закупки</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Общие положения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Товары и работы. Закупка всех необходимых для реализации Проекта товаров и работ, подлежащих финансированию из средств финансирования, производится в соответствии с требованиями, излагаемыми или упоминаемыми в разделе I Руководства по закупкам, и в соответствии с положениями настоящего раздела.</w:t>
      </w:r>
    </w:p>
    <w:p>
      <w:pPr>
        <w:spacing w:after="120"/>
        <w:ind w:firstLine="400"/>
        <w:jc w:val="both"/>
      </w:pPr>
      <w:r>
        <w:rPr>
          <w:rFonts w:ascii="Arial" w:cs="Arial" w:eastAsia="Arial" w:hAnsi="Arial"/>
          <w:sz w:val="24"/>
          <w:szCs w:val="24"/>
        </w:rPr>
        <w:t xml:space="preserve">2. Консультационные услуги. Закупка всех необходимых для реализации Проекта консультационных услуг, подлежащих финансированию из средств Финансирования, производится в соответствии с требованиями, излагаемыми или упоминаемыми в разделах I и IV Руководства по отбору консультантов, и в соответствии с положениями настоящего раздела.</w:t>
      </w:r>
    </w:p>
    <w:p>
      <w:pPr>
        <w:spacing w:after="120"/>
        <w:ind w:firstLine="400"/>
        <w:jc w:val="both"/>
      </w:pPr>
      <w:r>
        <w:rPr>
          <w:rFonts w:ascii="Arial" w:cs="Arial" w:eastAsia="Arial" w:hAnsi="Arial"/>
          <w:sz w:val="24"/>
          <w:szCs w:val="24"/>
        </w:rPr>
        <w:t xml:space="preserve">3. Определения. Обозначенные заглавными буквами термины, которые используются в данном Приложении для описания отдельных методов закупок или методов рассмотрения Ассоциацией отдельных контрактов, относятся к соответствующим методам, описываемым в Руководстве по закупкам или Руководстве по отбору консультантов, в зависимости от обстоятельств.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Особые методы закупок товаров и работ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Международные конкурсные торги. Если иное не предусмотрено параграфом 2 настоящего раздела, товары и работы закупаются но контрактам, присуждаемым на основании Международных конкурсных тортов.</w:t>
      </w:r>
    </w:p>
    <w:p>
      <w:pPr>
        <w:spacing w:after="120"/>
        <w:ind w:firstLine="400"/>
        <w:jc w:val="both"/>
      </w:pPr>
      <w:r>
        <w:rPr>
          <w:rFonts w:ascii="Arial" w:cs="Arial" w:eastAsia="Arial" w:hAnsi="Arial"/>
          <w:sz w:val="24"/>
          <w:szCs w:val="24"/>
        </w:rPr>
        <w:t xml:space="preserve">2. Прочие методы закупок товаров и работ. В следующей таблице указаны методы закупок, отличные от Международных конкурсных торгов, которые могут использоваться для закупки товаров и работ. В Плане закупок указываются обстоятельства, при которых могут применяться такие методы: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закупок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Национальные конкурсные торги, проводимые в соответствии с положениями, изложенными в Дополнении к настоящему Приложению 2.</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Закупки в свободной торговле (шопинг)</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Участие сообществ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Прямое заключение контрактов</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 Особые методы закупок консультационных услуг</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Отбор по качеству и стоимости. Если иное не предусмотрено параграфом 2 настоящего раздела, консультационные услуги закупаются по контрактам, присуждаемым на основании Отбора по качеству и стоимости.</w:t>
      </w:r>
    </w:p>
    <w:p>
      <w:pPr>
        <w:spacing w:after="120"/>
        <w:ind w:firstLine="400"/>
        <w:jc w:val="both"/>
      </w:pPr>
      <w:r>
        <w:rPr>
          <w:rFonts w:ascii="Arial" w:cs="Arial" w:eastAsia="Arial" w:hAnsi="Arial"/>
          <w:sz w:val="24"/>
          <w:szCs w:val="24"/>
        </w:rPr>
        <w:t xml:space="preserve">2. Прочие методы закупок консультационных услуг. В следующей таблице указаны методы закупок, отличные от Отбора по качеству и стоимости, которые могут использоваться для закупок консультационных услуг. В Плане закупок указываются обстоятельства, при которых могут использоваться такие методы.</w:t>
      </w:r>
    </w:p>
    <w:p>
      <w:pPr>
        <w:spacing w:after="120"/>
        <w:ind w:firstLine="4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закупок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Отбор по наименьшей стоимости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Отбор по квалификации консультантов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Отбор индивидуальных консультантов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Отбор из одного источника</w:t>
            </w:r>
          </w:p>
        </w:tc>
      </w:tr>
    </w:tbl>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D. Обзор Ассоциацией решений о закупках</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Плане закупок указываются контракты, подлежащие Предварительному обзору Ассоциацией. Все остальные контракты подлежат Последующему обзору Ассоциацией.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Выборка средств финансирования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Общие положения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может производить выборку средств финансирования в соответствии с положениями статьи II Общих условий, данным разделом и дополнительными инструкциями, которые могут быть отдельно указаны Ассоциацией в форме уведомления Получателю (включая «Руководство Всемирного банка по предоставлению средств на реализацию проектов», изданное в мае 2006 года, периодически пересматриваемое Ассоциацией и применимое к данному Соглашению в соответствии с такими инструкциями), для финансирования допустимых расходов согласно таблице в параграфе 2 (ниже).</w:t>
      </w:r>
    </w:p>
    <w:p>
      <w:pPr>
        <w:spacing w:after="120"/>
        <w:ind w:firstLine="400"/>
        <w:jc w:val="both"/>
      </w:pPr>
      <w:r>
        <w:rPr>
          <w:rFonts w:ascii="Arial" w:cs="Arial" w:eastAsia="Arial" w:hAnsi="Arial"/>
          <w:sz w:val="24"/>
          <w:szCs w:val="24"/>
        </w:rPr>
        <w:t xml:space="preserve">2. В следующей таблице указаны категории допустимых расходов, которые могут быть оплачены из средств финансирования («Категория»), распределение сумм Кредита и Гранта по каждой категории, а также процентная доля расходов, которая может быть оплачена из средств финансирования по каждой категории:</w:t>
      </w:r>
    </w:p>
    <w:p>
      <w:pPr>
        <w:spacing w:after="120"/>
        <w:ind w:firstLine="4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6"/>
        <w:gridCol w:w="1883"/>
        <w:gridCol w:w="1843"/>
        <w:gridCol w:w="2747"/>
      </w:tblGrid>
      <w:tr>
        <w:tc>
          <w:tcPr>
            <w:tcW w:type="dxa" w:w="37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Выделенная сумма Кредита (выраженная в СПЗ)</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Выделенная сумма Гранта (выраженная в СПЗ)</w:t>
            </w:r>
          </w:p>
        </w:tc>
        <w:tc>
          <w:tcPr>
            <w:tcW w:type="dxa" w:w="2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 подлежащих финансированию расходов (включая налоги)</w:t>
            </w:r>
          </w:p>
        </w:tc>
      </w:tr>
      <w:tr>
        <w:tc>
          <w:tcPr>
            <w:tcW w:type="dxa" w:w="3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Консультационные услуги и обучение</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2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расходов в иностранной валюте и 100% расходов в местной валюте</w:t>
            </w:r>
          </w:p>
        </w:tc>
      </w:tr>
      <w:tr>
        <w:tc>
          <w:tcPr>
            <w:tcW w:type="dxa" w:w="3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гранты для сообществ в рамках части II.А и дополнительные операционные расходы</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1400000</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1210000</w:t>
            </w:r>
          </w:p>
        </w:tc>
        <w:tc>
          <w:tcPr>
            <w:tcW w:type="dxa" w:w="2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1300000</w:t>
            </w:r>
          </w:p>
        </w:tc>
        <w:tc>
          <w:tcPr>
            <w:tcW w:type="dxa" w:w="2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Условия выборки средств; Срок выборки средств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 до даты подписания настоящего Соглашения.</w:t>
      </w:r>
    </w:p>
    <w:p>
      <w:pPr>
        <w:spacing w:after="120"/>
        <w:ind w:firstLine="400"/>
        <w:jc w:val="both"/>
      </w:pPr>
      <w:r>
        <w:rPr>
          <w:rFonts w:ascii="Arial" w:cs="Arial" w:eastAsia="Arial" w:hAnsi="Arial"/>
          <w:sz w:val="24"/>
          <w:szCs w:val="24"/>
        </w:rPr>
        <w:t xml:space="preserve">2. Датой закрытия является 31 октября 2014 года.</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Дополнение</w:t>
      </w:r>
    </w:p>
    <w:p>
      <w:pPr>
        <w:spacing w:after="120"/>
        <w:ind w:firstLine="400"/>
        <w:jc w:val="right"/>
      </w:pPr>
      <w:r>
        <w:rPr>
          <w:rFonts w:ascii="Arial" w:cs="Arial" w:eastAsia="Arial" w:hAnsi="Arial"/>
          <w:sz w:val="24"/>
          <w:szCs w:val="24"/>
        </w:rPr>
        <w:t xml:space="preserve">к Приложению 2</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процедурах проведения национальных конкурсных торгов (НКТ)</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Процедура, которую необходимо соблюдать при проведении национальных конкурсных торгов, будет в форме тендера, с использованием метода неограниченного участия, установленного Законом Кыргызской Республики «О государственных закупках» от 24 мая 2004 года № 69 (с внесением дополнений путем принятия следующих редакций законов Кыргызской Республики: (i) Закон от 28 июля 2008 г. № 172; (ii) Закон от 20 июля 2009 г. № 236; (iii) Закон от 8 июля 2011 г. № 88), однако при условии, что такая процедура подпадает под действие положений раздела I и пунктов 3.3 и 3.4 Руководства по закупкам товаров, работ и неконсультационных услуг в рамках займов МБРР, кредитов и грантов МАР заемщиками Всемирного банка (январь 2011 г.) (Руководство по закупкам), а также следующих дополнительных положений:</w:t>
      </w:r>
    </w:p>
    <w:p>
      <w:pPr>
        <w:spacing w:after="120"/>
        <w:ind w:firstLine="400"/>
        <w:jc w:val="both"/>
      </w:pPr>
      <w:r>
        <w:rPr>
          <w:rFonts w:ascii="Arial" w:cs="Arial" w:eastAsia="Arial" w:hAnsi="Arial"/>
          <w:sz w:val="24"/>
          <w:szCs w:val="24"/>
        </w:rPr>
        <w:t xml:space="preserve">1. Правомочность: Правомочность участников торгов для участия в тендерном процессе и присуждении контрактов, финансируемых Ассоциацией, определяется в соответствии с разделом 1 Руководства по закупкам; соответственно, ни один из фактических или потенциальных участников торгов не может быть объявлен неправомочным для финансируемых Банком или Ассоциацией контрактов по причинам, отличным от тех, которые указаны в разделе I Руководства по закупкам.</w:t>
      </w:r>
    </w:p>
    <w:p>
      <w:pPr>
        <w:spacing w:after="120"/>
        <w:ind w:firstLine="400"/>
        <w:jc w:val="both"/>
      </w:pPr>
      <w:r>
        <w:rPr>
          <w:rFonts w:ascii="Arial" w:cs="Arial" w:eastAsia="Arial" w:hAnsi="Arial"/>
          <w:sz w:val="24"/>
          <w:szCs w:val="24"/>
        </w:rPr>
        <w:t xml:space="preserve">Предпочтение отечественным участникам торгов: Не допускается предоставление льгот и/или льготных программ отечественным участникам торгов на основании гражданства, происхождения товаров, услуг или подрядчиков.</w:t>
      </w:r>
    </w:p>
    <w:p>
      <w:pPr>
        <w:spacing w:after="120"/>
        <w:ind w:firstLine="400"/>
        <w:jc w:val="both"/>
      </w:pPr>
      <w:r>
        <w:rPr>
          <w:rFonts w:ascii="Arial" w:cs="Arial" w:eastAsia="Arial" w:hAnsi="Arial"/>
          <w:sz w:val="24"/>
          <w:szCs w:val="24"/>
        </w:rPr>
        <w:t xml:space="preserve">3. Регистрация и получение лицензий. Для оценки квалификации участника торгов фактор регистрации не применяется. К иностранному участнику торгов не должно предъявляться требование по регистрации или получению лицензии в качестве условия для предоставления конкурсного предложения, а иностранному участнику торгов, которому рекомендуемся присудить контракт, до подписания контракта должна быть предоставлена обоснованно необходимая возможность зарегистрироваться или получить лицензию при надлежащем сотрудничестве с Заемщиком.</w:t>
      </w:r>
    </w:p>
    <w:p>
      <w:pPr>
        <w:spacing w:after="120"/>
        <w:ind w:firstLine="400"/>
        <w:jc w:val="both"/>
      </w:pPr>
      <w:r>
        <w:rPr>
          <w:rFonts w:ascii="Arial" w:cs="Arial" w:eastAsia="Arial" w:hAnsi="Arial"/>
          <w:sz w:val="24"/>
          <w:szCs w:val="24"/>
        </w:rPr>
        <w:t xml:space="preserve">4. Тендерные документы. Закупающие организации должны использовать надлежащую типовую тендерную документацию, удовлетворяющую требованиям Ассоциации. Подготовленная документация должна обеспечить экономичность, эффективность, прозрачность и всеобщее соответствие положениям раздела I Руководства по закупкам.</w:t>
      </w:r>
    </w:p>
    <w:p>
      <w:pPr>
        <w:spacing w:after="120"/>
        <w:ind w:firstLine="400"/>
        <w:jc w:val="both"/>
      </w:pPr>
      <w:r>
        <w:rPr>
          <w:rFonts w:ascii="Arial" w:cs="Arial" w:eastAsia="Arial" w:hAnsi="Arial"/>
          <w:sz w:val="24"/>
          <w:szCs w:val="24"/>
        </w:rPr>
        <w:t xml:space="preserve">5. Срок действия конкурсного предложения. Срок действия конкурсного предложения, требуемый по тендерным документам, должен быть достаточным с учетом любого периода, требуемого для одобрения и регистрации контракта, как предусмотрено законодательством по закупкам. Продление срока действия конкурсного предложения, если таковое обосновано исключительными обстоятельствами, может быть запрошено в письменной форме всеми участниками торгов до истечения первоначального срока действия, при условии, что продление будет только на минимальный срок, требуемый для завершения оценки, заключения контракта и/или завершения процесса регистрации контракта. Без предварительного согласия Ассоциации в письменной форме запросы на дальнейшее продление срока действия конкурсного предложения не направляются.</w:t>
      </w:r>
    </w:p>
    <w:p>
      <w:pPr>
        <w:spacing w:after="120"/>
        <w:ind w:firstLine="400"/>
        <w:jc w:val="both"/>
      </w:pPr>
      <w:r>
        <w:rPr>
          <w:rFonts w:ascii="Arial" w:cs="Arial" w:eastAsia="Arial" w:hAnsi="Arial"/>
          <w:sz w:val="24"/>
          <w:szCs w:val="24"/>
        </w:rPr>
        <w:t xml:space="preserve">6. Квалификация. В тендерных документах должны быть установлены ясные квалификационные критерии. Для определения квалификации участника торгов должны применяться все установленные ясные критерии и только такие критерии. Оценка квалификации производится на основании того, прошел ли участник торгов квалификационный отбор или не прошел, без использования балльной системы. Такая оценка полностью основывается на изучении возможностей и средств фактического или будущего участника торгов по эффективному исполнению контракта, с учетом объективных и измеряемых факторов, в том числе: (а) общий и относящийся непосредственно к данной сфере опыт работы, удовлетворительные результаты работы в предыдущий период, а также успешное выполнение аналогичных контрактов за указанный период; (б) финансовое положение; и при необходимости (в) возможности строительства и/или производства.</w:t>
      </w:r>
    </w:p>
    <w:p>
      <w:pPr>
        <w:spacing w:after="120"/>
        <w:ind w:firstLine="400"/>
        <w:jc w:val="both"/>
      </w:pPr>
      <w:r>
        <w:rPr>
          <w:rFonts w:ascii="Arial" w:cs="Arial" w:eastAsia="Arial" w:hAnsi="Arial"/>
          <w:sz w:val="24"/>
          <w:szCs w:val="24"/>
        </w:rPr>
        <w:t xml:space="preserve">Предварительная оценка квалификации и удовлетворяющая требованиям Ассоциации документация используются для крупных контрактов, предусматривающих производство сложных и/или специальных видов работ. В период присуждения контраста проводится проверка сведений, по которым проводилась предварительная оценка участника торгов, в том числе текущие обязательства и возможности в части персонала и оборудования.</w:t>
      </w:r>
    </w:p>
    <w:p>
      <w:pPr>
        <w:spacing w:after="120"/>
        <w:ind w:firstLine="400"/>
        <w:jc w:val="both"/>
      </w:pPr>
      <w:r>
        <w:rPr>
          <w:rFonts w:ascii="Arial" w:cs="Arial" w:eastAsia="Arial" w:hAnsi="Arial"/>
          <w:sz w:val="24"/>
          <w:szCs w:val="24"/>
        </w:rPr>
        <w:t xml:space="preserve">При закупках товаров и работ, когда предварительная оценка не используется, по участнику торгов, которому рекомендуется присудить контракт, проводится постквалификационная оценка с использованием квалификационных критериев, установленных тендерными документами.</w:t>
      </w:r>
    </w:p>
    <w:p>
      <w:pPr>
        <w:spacing w:after="120"/>
        <w:ind w:firstLine="400"/>
        <w:jc w:val="both"/>
      </w:pPr>
      <w:r>
        <w:rPr>
          <w:rFonts w:ascii="Arial" w:cs="Arial" w:eastAsia="Arial" w:hAnsi="Arial"/>
          <w:sz w:val="24"/>
          <w:szCs w:val="24"/>
        </w:rPr>
        <w:t xml:space="preserve">7. Сметы затрат и государственные единичные расценки. Сметы затрат носят конфиденциальный характер и не раскрываются возможным участникам торгов. Без предварительного письменного согласия Ассоциации не допускается отклонение конкурсных предложений на основании результатов сравнения со сметами затрат и/или пороговой суммой. Государственные единичные расценки не применяются в отношении планирования смет и/или оценки контрактов на строительные работы.</w:t>
      </w:r>
    </w:p>
    <w:p>
      <w:pPr>
        <w:spacing w:after="120"/>
        <w:ind w:firstLine="400"/>
        <w:jc w:val="both"/>
      </w:pPr>
      <w:r>
        <w:rPr>
          <w:rFonts w:ascii="Arial" w:cs="Arial" w:eastAsia="Arial" w:hAnsi="Arial"/>
          <w:sz w:val="24"/>
          <w:szCs w:val="24"/>
        </w:rPr>
        <w:t xml:space="preserve">8. Представление и вскрытие конкурсных предложений. Для подготовки и представления конкурсных предложений будущим участникам торгов предоставляется минимум 30 (тридцать) дней со дня публикации приглашения к подаче конкурсных предложений или со дня получения тендерных документов (смотря какое из этих событий происходило позже). Предложения вскрываются публично, сразу же по наступлении крайнего срока их подачи, Не допускается отклонение заявок при их вскрытии. Протоколы вскрытия конкурсных предложении незамедлительно предоставляются всем подавшим предложения участникам торгов, а также Ассоциации, в части контрактов, подлежащих предварительному обзору Ассоциацией.</w:t>
      </w:r>
    </w:p>
    <w:p>
      <w:pPr>
        <w:spacing w:after="120"/>
        <w:ind w:firstLine="400"/>
        <w:jc w:val="both"/>
      </w:pPr>
      <w:r>
        <w:rPr>
          <w:rFonts w:ascii="Arial" w:cs="Arial" w:eastAsia="Arial" w:hAnsi="Arial"/>
          <w:sz w:val="24"/>
          <w:szCs w:val="24"/>
        </w:rPr>
        <w:t xml:space="preserve">9. Отклонение конкурсных предложений и проведение повторного тендера. Не допускается отклонение заявок на том лишь основании, что они превышают сметную стоимость. Никакие конкурсные предложения (или предложение, если единственное) не отклоняются, результаты тендера не отменяются, и не предлагается проведение нового тендера без предварительного согласия Ассоциации в письменной форме.</w:t>
      </w:r>
    </w:p>
    <w:p>
      <w:pPr>
        <w:spacing w:after="120"/>
        <w:ind w:firstLine="400"/>
        <w:jc w:val="both"/>
      </w:pPr>
      <w:r>
        <w:rPr>
          <w:rFonts w:ascii="Arial" w:cs="Arial" w:eastAsia="Arial" w:hAnsi="Arial"/>
          <w:sz w:val="24"/>
          <w:szCs w:val="24"/>
        </w:rPr>
        <w:t xml:space="preserve">10. Оценка конкурсных предложений. В тендерных документах должны быть установлены ясные критерии оценки. Оценка конкурсных предложений проводится при строгом соблюдении критериев, установленных тендерными документами. Все критерии оценки заявок должны быть измеримыми в денежной форме. При оценке предложений балльная система не применяется, и минимальные баллы или значения в процентах по ценовой стоимости не присваиваются. Участники торгов не должны исключаться на основании незначительных нематериальных отклонений.</w:t>
      </w:r>
    </w:p>
    <w:p>
      <w:pPr>
        <w:spacing w:after="120"/>
        <w:ind w:firstLine="400"/>
        <w:jc w:val="both"/>
      </w:pPr>
      <w:r>
        <w:rPr>
          <w:rFonts w:ascii="Arial" w:cs="Arial" w:eastAsia="Arial" w:hAnsi="Arial"/>
          <w:sz w:val="24"/>
          <w:szCs w:val="24"/>
        </w:rPr>
        <w:t xml:space="preserve">Контракт заключается с квалифицированным участником торгов, конкурсное предложение которого было определено как (i) по существу соответствующее требованиям тендерных документов; (ii) наименьшее по стоимости. Не допускается проведение переговоров в отношении результатов оценки предложений или процесса регистрации контрактов.</w:t>
      </w:r>
    </w:p>
    <w:p>
      <w:pPr>
        <w:spacing w:after="120"/>
        <w:ind w:firstLine="400"/>
        <w:jc w:val="both"/>
      </w:pPr>
      <w:r>
        <w:rPr>
          <w:rFonts w:ascii="Arial" w:cs="Arial" w:eastAsia="Arial" w:hAnsi="Arial"/>
          <w:sz w:val="24"/>
          <w:szCs w:val="24"/>
        </w:rPr>
        <w:t xml:space="preserve">11. Гарантии. Гарантии предоставляются по форме, установленной в тендерных документах. Гарантия конкурсного предложения действуем в течение 28 (двадцати восьми) дней после истечения первоначального срока действия конкурсного предложения или после истечения любою продленного по запросу срока действия.</w:t>
      </w:r>
    </w:p>
    <w:p>
      <w:pPr>
        <w:spacing w:after="120"/>
        <w:ind w:firstLine="400"/>
        <w:jc w:val="both"/>
      </w:pPr>
      <w:r>
        <w:rPr>
          <w:rFonts w:ascii="Arial" w:cs="Arial" w:eastAsia="Arial" w:hAnsi="Arial"/>
          <w:sz w:val="24"/>
          <w:szCs w:val="24"/>
        </w:rPr>
        <w:t xml:space="preserve">12. Внесение изменений в контракт. В отношении контрактов, подпадающих под требование по предварительному обзору Ассоциацией, Заемщик должен получить предварительное согласие Ассоциации до того, как согласовывать (i) продление предусмотренного срока на исполнение контракта; (ii) внесение каких-либо существенных изменений в объемы услуг или других значительных изменений в условия и сроки контракта; (iii) любые распоряжения на изменение или дополнение (за исключением случаев крайней срочности), которые по отдельности или вместе со всеми ранее выданными распоряжениями на изменение или дополнение увеличивают первоначальную сумму контракта более чем на 15%; или (iv) расторжение контракта. Все изменения и дополнения к контракту предоставляются Ассоциации.</w:t>
      </w:r>
    </w:p>
    <w:p>
      <w:pPr>
        <w:spacing w:after="120"/>
        <w:ind w:firstLine="400"/>
        <w:jc w:val="both"/>
      </w:pPr>
      <w:r>
        <w:rPr>
          <w:rFonts w:ascii="Arial" w:cs="Arial" w:eastAsia="Arial" w:hAnsi="Arial"/>
          <w:sz w:val="24"/>
          <w:szCs w:val="24"/>
        </w:rPr>
        <w:t xml:space="preserve">13. Мошенничество и коррупция. В состав тендерных документов и контракта, если Ассоциация посчитает их приемлемыми, должны входить положения, в которых излагается политика Ассоциации по применению санкций в отношении организаций или частных лиц, по которым было установлено их участие в мошенничестве и коррупции, как определено Руководством по закупкам.</w:t>
      </w:r>
    </w:p>
    <w:p>
      <w:pPr>
        <w:spacing w:after="120"/>
        <w:ind w:firstLine="400"/>
        <w:jc w:val="both"/>
      </w:pPr>
      <w:r>
        <w:rPr>
          <w:rFonts w:ascii="Arial" w:cs="Arial" w:eastAsia="Arial" w:hAnsi="Arial"/>
          <w:sz w:val="24"/>
          <w:szCs w:val="24"/>
        </w:rPr>
        <w:t xml:space="preserve">14. Право на проведение инспекций и аудиторских проверок. В соответствии с Руководством по закупкам, все тендерные документы и контракты. финансирование которых производится из средств финансирования, должны предусматривать положения, согласно которым участники торгов, поставщики и подрядчики, а также их субподрядчики, агенты, персонал, консультанты, поставщики услуг или товаров разрешают Ассоциации проверять все счета, записи и другие документы, имеющие отношение к представленным конкурсным предложениям и исполнению контрактов, а также проводить их аудиторскую проверку силами аудиторов, назначенных Ассоциацией. Действия, намеренно совершаемые с целью воспрепятствования Ассоциации по осуществлению прав на проведение инспекций и аудиторских проверок, предусмотренных Руководством по закупкам, составляют практику воспрепятствования, согласно определению в Руководстве по закупкам.</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3</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 погашения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погашения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Основная сумма Кредита,</w:t>
            </w:r>
          </w:p>
          <w:p>
            <w:pPr>
              <w:jc w:val="center"/>
            </w:pPr>
            <w:r>
              <w:rPr>
                <w:rFonts w:ascii="Arial" w:cs="Arial" w:eastAsia="Arial" w:hAnsi="Arial"/>
                <w:sz w:val="24"/>
                <w:szCs w:val="24"/>
              </w:rPr>
              <w:t xml:space="preserve">подлежащая погашению (выраженная в процентах)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февраля 2023 года по 1%</w:t>
            </w:r>
          </w:p>
          <w:p>
            <w:pPr>
              <w:jc w:val="left"/>
            </w:pPr>
            <w:r>
              <w:rPr>
                <w:rFonts w:ascii="Arial" w:cs="Arial" w:eastAsia="Arial" w:hAnsi="Arial"/>
                <w:sz w:val="24"/>
                <w:szCs w:val="24"/>
              </w:rPr>
              <w:t xml:space="preserve">15 августа 2031 года, включительно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февраля 2033 года по 2%</w:t>
            </w:r>
          </w:p>
          <w:p>
            <w:pPr>
              <w:jc w:val="left"/>
            </w:pPr>
            <w:r>
              <w:rPr>
                <w:rFonts w:ascii="Arial" w:cs="Arial" w:eastAsia="Arial" w:hAnsi="Arial"/>
                <w:sz w:val="24"/>
                <w:szCs w:val="24"/>
              </w:rPr>
              <w:t xml:space="preserve">15 августа 2052 года, включительно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 Проценты обозначают долю от основной суммы Кредита, подлежащую погашению, если иное не указано Ассоциацией в соответствии с разделом 3.03 (Ь) Общих условий.</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«Руководство по предотвращению коррупции» означает «Руководство по предотвращению и пресечению коррупции при реализации проектов, финансируемых за счет займов МБРР и кредитов и грантов МАР» , датированное 15 октября 2006 года и пересмотренное в январе 2011 года.</w:t>
      </w:r>
    </w:p>
    <w:p>
      <w:pPr>
        <w:spacing w:after="120"/>
        <w:ind w:firstLine="400"/>
        <w:jc w:val="both"/>
      </w:pPr>
      <w:r>
        <w:rPr>
          <w:rFonts w:ascii="Arial" w:cs="Arial" w:eastAsia="Arial" w:hAnsi="Arial"/>
          <w:sz w:val="24"/>
          <w:szCs w:val="24"/>
        </w:rPr>
        <w:t xml:space="preserve">2. «Сообщество-Бенефициар» означает правомочное сообщество, которое является получателем или которому предложено быть получателем Гранта для сообщества, для реализации Инвестиционного плана сообщества.</w:t>
      </w:r>
    </w:p>
    <w:p>
      <w:pPr>
        <w:spacing w:after="120"/>
        <w:ind w:firstLine="400"/>
        <w:jc w:val="both"/>
      </w:pPr>
      <w:r>
        <w:rPr>
          <w:rFonts w:ascii="Arial" w:cs="Arial" w:eastAsia="Arial" w:hAnsi="Arial"/>
          <w:sz w:val="24"/>
          <w:szCs w:val="24"/>
        </w:rPr>
        <w:t xml:space="preserve">3. «Категория» означает категорию, указанную в таблице в разделе IV Приложения 2 к настоящему Соглашению.</w:t>
      </w:r>
    </w:p>
    <w:p>
      <w:pPr>
        <w:spacing w:after="120"/>
        <w:ind w:firstLine="400"/>
        <w:jc w:val="both"/>
      </w:pPr>
      <w:r>
        <w:rPr>
          <w:rFonts w:ascii="Arial" w:cs="Arial" w:eastAsia="Arial" w:hAnsi="Arial"/>
          <w:sz w:val="24"/>
          <w:szCs w:val="24"/>
        </w:rPr>
        <w:t xml:space="preserve">4. «Грант для сообщества» означает грант, предоставляемый или предлагаемый правомочному сообществу, из средств финансирования для финансирования расходов на приобретение товаров, работ и услуг консультантов, необходимых для реализации Инвестиционного плана сообщества, в соответствии с положениями Проекта.</w:t>
      </w:r>
    </w:p>
    <w:p>
      <w:pPr>
        <w:spacing w:after="120"/>
        <w:ind w:firstLine="400"/>
        <w:jc w:val="both"/>
      </w:pPr>
      <w:r>
        <w:rPr>
          <w:rFonts w:ascii="Arial" w:cs="Arial" w:eastAsia="Arial" w:hAnsi="Arial"/>
          <w:sz w:val="24"/>
          <w:szCs w:val="24"/>
        </w:rPr>
        <w:t xml:space="preserve">5. «Соглашение о Гранте для сообщества» означает Соглашение между исполнительным органом территориального инвестиционного объединения соответствующего айылного аймака и исполнительным агентством проекта относительно предоставления сообществу-Бенефициару Гранта для сообщества.</w:t>
      </w:r>
    </w:p>
    <w:p>
      <w:pPr>
        <w:spacing w:after="120"/>
        <w:ind w:firstLine="400"/>
        <w:jc w:val="both"/>
      </w:pPr>
      <w:r>
        <w:rPr>
          <w:rFonts w:ascii="Arial" w:cs="Arial" w:eastAsia="Arial" w:hAnsi="Arial"/>
          <w:sz w:val="24"/>
          <w:szCs w:val="24"/>
        </w:rPr>
        <w:t xml:space="preserve">6. «Инвестиционный план сообщества» означает инвестиционный план, подготовленный правомочным сообществом, в соответствии с принципами, процедурами и критериями приемлемости, определенными в Операционном руководстве, и финансируемый или предложенный для финансирования за счет Гранта для сообщества.</w:t>
      </w:r>
    </w:p>
    <w:p>
      <w:pPr>
        <w:spacing w:after="120"/>
        <w:ind w:firstLine="400"/>
        <w:jc w:val="both"/>
      </w:pPr>
      <w:r>
        <w:rPr>
          <w:rFonts w:ascii="Arial" w:cs="Arial" w:eastAsia="Arial" w:hAnsi="Arial"/>
          <w:sz w:val="24"/>
          <w:szCs w:val="24"/>
        </w:rPr>
        <w:t xml:space="preserve">7. «Руководство по отбору консультантов» означает «Руководство по отбору и найму консультантов заемщиками Всемирного банка в рамках займов МБРР и кредитов МАР» , изданное в январе 2011 года.</w:t>
      </w:r>
    </w:p>
    <w:p>
      <w:pPr>
        <w:spacing w:after="120"/>
        <w:ind w:firstLine="400"/>
        <w:jc w:val="both"/>
      </w:pPr>
      <w:r>
        <w:rPr>
          <w:rFonts w:ascii="Arial" w:cs="Arial" w:eastAsia="Arial" w:hAnsi="Arial"/>
          <w:sz w:val="24"/>
          <w:szCs w:val="24"/>
        </w:rPr>
        <w:t xml:space="preserve">8. «План мер по охране окружающей среды» или «ПМООС» означает план, удовлетворяющий требованиям Ассоциации, от 24 сентября 2009 г., принятый Получателем и включенный в Операционное руководство, с описанием методов смягчения возможного негативного воздействия Проекта на окружающую среду, мер по мониторингу и институциональных мер по Проекту, включая руководства по предварительной экологической проверке и оценке микропроектов.</w:t>
      </w:r>
    </w:p>
    <w:p>
      <w:pPr>
        <w:spacing w:after="120"/>
        <w:ind w:firstLine="400"/>
        <w:jc w:val="both"/>
      </w:pPr>
      <w:r>
        <w:rPr>
          <w:rFonts w:ascii="Arial" w:cs="Arial" w:eastAsia="Arial" w:hAnsi="Arial"/>
          <w:sz w:val="24"/>
          <w:szCs w:val="24"/>
        </w:rPr>
        <w:t xml:space="preserve">9. «Общие условия» означает «Общие условия кредитов и грантов Международной ассоциации развития» от 31 июля 2010 года.</w:t>
      </w:r>
    </w:p>
    <w:p>
      <w:pPr>
        <w:spacing w:after="120"/>
        <w:ind w:firstLine="400"/>
        <w:jc w:val="both"/>
      </w:pPr>
      <w:r>
        <w:rPr>
          <w:rFonts w:ascii="Arial" w:cs="Arial" w:eastAsia="Arial" w:hAnsi="Arial"/>
          <w:sz w:val="24"/>
          <w:szCs w:val="24"/>
        </w:rPr>
        <w:t xml:space="preserve">10. «Дополнительные операционные расходы» означают дополнительные операционные расходы, понесенные Исполнительным агентством Проекта в ходе реализации, управления, отслеживания хода реализации и оценки Проекта, включая выплату заработной платы его договорным сотрудникам, социальные отчисления, расходы на аренду, содержание и ремонт офисных помещений, а также расходы на расходные и иные материалы, услуги связи, техническое сопровождение информационных систем, переводческие услуги, банковские сборы, транспортные расходы и выплату суточных сотрудникам Исполнительного агентства Проекта, и другие обоснованные расходы, непосредственно связанные с реализацией Проекта и основанные на ежегодном бюджете, приемлемом для Ассоциации, за исключением выплаты заработной платы должностным лицам государственной службы Заемщика и иных расходов по согласованию с Ассоциацией.</w:t>
      </w:r>
    </w:p>
    <w:p>
      <w:pPr>
        <w:spacing w:after="120"/>
        <w:ind w:firstLine="400"/>
        <w:jc w:val="both"/>
      </w:pPr>
      <w:r>
        <w:rPr>
          <w:rFonts w:ascii="Arial" w:cs="Arial" w:eastAsia="Arial" w:hAnsi="Arial"/>
          <w:sz w:val="24"/>
          <w:szCs w:val="24"/>
        </w:rPr>
        <w:t xml:space="preserve">11. «План отвода земель» означает план отвода земель в определенной местности, подготовленный в соответствии с параметрами, определенными в Рамочном документе по политике отвода земель (как определено здесь и далее), отвечающий требованиям Ассоциации, разрабатываемый Исполнительным агентством Проекта для каждого микропроекта, предусматривающий отвод земель и/или переселение населения.</w:t>
      </w:r>
    </w:p>
    <w:p>
      <w:pPr>
        <w:spacing w:after="120"/>
        <w:ind w:firstLine="400"/>
        <w:jc w:val="both"/>
      </w:pPr>
      <w:r>
        <w:rPr>
          <w:rFonts w:ascii="Arial" w:cs="Arial" w:eastAsia="Arial" w:hAnsi="Arial"/>
          <w:sz w:val="24"/>
          <w:szCs w:val="24"/>
        </w:rPr>
        <w:t xml:space="preserve">12. «Основы политики отвода земель» означает документ по основам политики отвода земель, удовлетворяющий требованиям Ассоциации от 24 сентября 2009 г., принятый Получателем, и содержащий: (i) описание Проекта и мероприятий, для которых могут потребоваться отвод земель п/или переселение; (ii) принципы и цели, определяющие подготовку и осуществление переселения; (iii) подготовку и одобрение планов отвода земель; (iv) насколько возможно, примерное число переселяемых или пострадавших лиц и их возможные категории; (v) критерии определения категорий переселяемых или пострадавших лиц; (vi) правовую основу для изучения соответствия между законами и правилами Получателя и требованиями политики Ассоциации, а также предлагаемые меры по восполнению пробелов между ними; (vii) методы определения стоимости пострадавших активов; (viii) описание механизмов подачи жалоб; (ix) описание механизмов компенсации; и (х) механизмы осуществления мониторинга Исполнительным агентством Проекта и, при необходимости, независимыми лицами.</w:t>
      </w:r>
    </w:p>
    <w:p>
      <w:pPr>
        <w:spacing w:after="120"/>
        <w:ind w:firstLine="400"/>
        <w:jc w:val="both"/>
      </w:pPr>
      <w:r>
        <w:rPr>
          <w:rFonts w:ascii="Arial" w:cs="Arial" w:eastAsia="Arial" w:hAnsi="Arial"/>
          <w:sz w:val="24"/>
          <w:szCs w:val="24"/>
        </w:rPr>
        <w:t xml:space="preserve">13. «Микропроект» означает микропроект, включенный или предложенный для включения в Инвестиционный план сообщества в соответствии с частью II Проекта, и предназначенный для финансирования за счет средств Гранта для сообщества.</w:t>
      </w:r>
    </w:p>
    <w:p>
      <w:pPr>
        <w:spacing w:after="120"/>
        <w:ind w:firstLine="400"/>
        <w:jc w:val="both"/>
      </w:pPr>
      <w:r>
        <w:rPr>
          <w:rFonts w:ascii="Arial" w:cs="Arial" w:eastAsia="Arial" w:hAnsi="Arial"/>
          <w:sz w:val="24"/>
          <w:szCs w:val="24"/>
        </w:rPr>
        <w:t xml:space="preserve">14. «Операционное руководство» означает операционное руководство, удовлетворяющее требованиям Ассоциации, от 24 сентября 2009 г., принятое Исполнительным агентством Проекта и содержащее, в числе прочего: (а) процедуры реализации и мониторинга Проекта; (Ь) критерии приемлемости, требования в отношении вклада Бенефициара, а также подготовку, оценку, отбор, финансирование, реализацию и надзор за микропроектами и Грантами для сообществ; и (с) ПМООС.</w:t>
      </w:r>
    </w:p>
    <w:p>
      <w:pPr>
        <w:spacing w:after="120"/>
        <w:ind w:firstLine="400"/>
        <w:jc w:val="both"/>
      </w:pPr>
      <w:r>
        <w:rPr>
          <w:rFonts w:ascii="Arial" w:cs="Arial" w:eastAsia="Arial" w:hAnsi="Arial"/>
          <w:sz w:val="24"/>
          <w:szCs w:val="24"/>
        </w:rPr>
        <w:t xml:space="preserve">15. «Первоначальное Соглашение о финансировании» означает Соглашение о финансировании Второго проекта сельских инвестиций между Получателем и Ассоциацией от 3 октября 2006 года (Грант № Н250-KG).</w:t>
      </w:r>
    </w:p>
    <w:p>
      <w:pPr>
        <w:spacing w:after="120"/>
        <w:ind w:firstLine="400"/>
        <w:jc w:val="both"/>
      </w:pPr>
      <w:r>
        <w:rPr>
          <w:rFonts w:ascii="Arial" w:cs="Arial" w:eastAsia="Arial" w:hAnsi="Arial"/>
          <w:sz w:val="24"/>
          <w:szCs w:val="24"/>
        </w:rPr>
        <w:t xml:space="preserve">16. «Первоначальный Проект» означает Проект, описываемый в Первоначальном Соглашении о финансировании.</w:t>
      </w:r>
    </w:p>
    <w:p>
      <w:pPr>
        <w:spacing w:after="120"/>
        <w:ind w:firstLine="400"/>
        <w:jc w:val="both"/>
      </w:pPr>
      <w:r>
        <w:rPr>
          <w:rFonts w:ascii="Arial" w:cs="Arial" w:eastAsia="Arial" w:hAnsi="Arial"/>
          <w:sz w:val="24"/>
          <w:szCs w:val="24"/>
        </w:rPr>
        <w:t xml:space="preserve">17. «Руководство по закупкам» означает «Руководство по закупкам товаров, работ и неконсультационных услуг заемщиками Всемирного банка по займам МБРР и кредитам и грантам МАР» , датированное январем 2011 года.</w:t>
      </w:r>
    </w:p>
    <w:p>
      <w:pPr>
        <w:spacing w:after="120"/>
        <w:ind w:firstLine="400"/>
        <w:jc w:val="both"/>
      </w:pPr>
      <w:r>
        <w:rPr>
          <w:rFonts w:ascii="Arial" w:cs="Arial" w:eastAsia="Arial" w:hAnsi="Arial"/>
          <w:sz w:val="24"/>
          <w:szCs w:val="24"/>
        </w:rPr>
        <w:t xml:space="preserve">18. «План закупок» означает план закупок Получателя по Проекту от 8 ноября 2012 года, упоминаемый в параграфе 1.18 Руководства по закупкам и параграфе 1.25 Руководства по отбору консультантов, с учетом обновлений, которые могут вноситься в такой план в соответствии с положениями указанных пунктов.</w:t>
      </w:r>
    </w:p>
    <w:p>
      <w:pPr>
        <w:spacing w:after="120"/>
        <w:ind w:firstLine="400"/>
        <w:jc w:val="both"/>
      </w:pPr>
      <w:r>
        <w:rPr>
          <w:rFonts w:ascii="Arial" w:cs="Arial" w:eastAsia="Arial" w:hAnsi="Arial"/>
          <w:sz w:val="24"/>
          <w:szCs w:val="24"/>
        </w:rPr>
        <w:t xml:space="preserve">19. «Исполнительное агентство Проекта» означает Агентство развития и инвестирования сообществ Кыргызской Республики Получателя, или любого из его преемников.</w:t>
      </w:r>
    </w:p>
    <w:p>
      <w:pPr>
        <w:spacing w:after="120"/>
        <w:ind w:firstLine="400"/>
        <w:jc w:val="both"/>
      </w:pPr>
      <w:r>
        <w:rPr>
          <w:rFonts w:ascii="Arial" w:cs="Arial" w:eastAsia="Arial" w:hAnsi="Arial"/>
          <w:sz w:val="24"/>
          <w:szCs w:val="24"/>
        </w:rPr>
        <w:t xml:space="preserve">20. «Законодательство об Исполнительном агентстве Проекта» означает Указ Президента Кыргызской Республики от 15 октября 2003 года № 330, включая любые поправки к нему или любое последующее законодательство.</w:t>
      </w:r>
    </w:p>
    <w:p>
      <w:pPr>
        <w:spacing w:after="120"/>
        <w:ind w:firstLine="400"/>
        <w:jc w:val="both"/>
      </w:pPr>
      <w:r>
        <w:rPr>
          <w:rFonts w:ascii="Arial" w:cs="Arial" w:eastAsia="Arial" w:hAnsi="Arial"/>
          <w:sz w:val="24"/>
          <w:szCs w:val="24"/>
        </w:rPr>
        <w:t xml:space="preserve">21. «Социальные отчисления» означает любые отчисления или выплаты на страховые взносы или пособия по болезни, безработице, страхование на случай нетрудоспособности, пособия по компенсации рабочих, пенсии по наступлении пенсионного возраста (пенсия или социальное обеспечение) и личное страхование, составляющие выплаты для постепенного использования будущих льгот для занятых сотрудников.</w:t>
      </w:r>
    </w:p>
    <w:p>
      <w:pPr>
        <w:spacing w:after="120"/>
        <w:ind w:firstLine="400"/>
        <w:jc w:val="both"/>
      </w:pPr>
      <w:r>
        <w:rPr>
          <w:rFonts w:ascii="Arial" w:cs="Arial" w:eastAsia="Arial" w:hAnsi="Arial"/>
          <w:sz w:val="24"/>
          <w:szCs w:val="24"/>
        </w:rPr>
        <w:t xml:space="preserve">22. «Субсидиарное соглашение» означает субсидиарное соглашение, заключенное между Получателем и Исполнительным агентством Проекта и соответствии с разделом I.В Приложения 2 к настоящему Соглашению, с учетом последующих редакций, и включает все приложения к Субсидиарному соглашению.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vs3vjr84pnavumbno4_">
      <w:r>
        <w:rPr>
          <w:rFonts w:ascii="Arial" w:cs="Arial" w:eastAsia="Arial" w:hAnsi="Arial"/>
          <w:color w:val="132D3F"/>
          <w:sz w:val="16"/>
          <w:szCs w:val="16"/>
          <w:u w:val="single"/>
        </w:rPr>
        <w:t xml:space="preserve">dalil.kg/document/210000</w:t>
      </w:r>
    </w:hyperlink>
  </w:p>
  <w:p>
    <w:pPr>
      <w:spacing w:after="0" w:before="40"/>
      <w:jc w:val="center"/>
    </w:pPr>
    <w:hyperlink w:history="1" r:id="rIdfyh1jvsdeuzd8hajric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go2v2nnjg0g7wagzjqz" Type="http://schemas.openxmlformats.org/officeDocument/2006/relationships/hyperlink" Target="https://dalil.kg/document/510203" TargetMode="External"/><Relationship Id="rId3xglk_lgrzxlfggumwyum" Type="http://schemas.openxmlformats.org/officeDocument/2006/relationships/hyperlink" Target="https://dalil.kg/document/210000#&#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vs3vjr84pnavumbno4_" Type="http://schemas.openxmlformats.org/officeDocument/2006/relationships/hyperlink" Target="https://dalil.kg/document/210000" TargetMode="External"/><Relationship Id="rIdfyh1jvsdeuzd8hajric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2026-09-23T16:02:56.236Z</dcterms:created>
  <dcterms:modified xsi:type="dcterms:W3CDTF">2026-09-23T16:02:56.236Z</dcterms:modified>
</cp:coreProperties>
</file>

<file path=docProps/custom.xml><?xml version="1.0" encoding="utf-8"?>
<Properties xmlns="http://schemas.openxmlformats.org/officeDocument/2006/custom-properties" xmlns:vt="http://schemas.openxmlformats.org/officeDocument/2006/docPropsVTypes"/>
</file>