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ghbtof50hzyozo_fafy0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185-р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vl0qewz-8uhn6rb3cw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реформирования налогового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совершенствованию налогового законодательства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</w:t>
      </w:r>
      <w:r>
        <w:rPr>
          <w:rFonts w:ascii="Arial" w:cs="Arial" w:eastAsia="Arial" w:hAnsi="Arial"/>
          <w:sz w:val="24"/>
          <w:szCs w:val="24"/>
        </w:rPr>
        <w:t xml:space="preserve">пе в месячный срок внести соответствующие предложения о внесении изменений в Налоговый кодекс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 необходимости межведомственная рабочая группа вправе в установленном порядке привлекать к работе специалистов министерств, государственного комитета, административных ведомств и иных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zuojstlyepyn-idpy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dalil.kg/document/210111</w:t>
      </w:r>
    </w:hyperlink>
  </w:p>
  <w:p>
    <w:pPr>
      <w:spacing w:after="0" w:before="40"/>
      <w:jc w:val="center"/>
    </w:pPr>
    <w:hyperlink w:history="1" r:id="rIddqr7vfjd5uxplo4vk0m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btof50hzyozo_fafy0z" Type="http://schemas.openxmlformats.org/officeDocument/2006/relationships/hyperlink" Target="https://dalil.kg/document/510203" TargetMode="External"/><Relationship Id="rIdbvl0qewz-8uhn6rb3cw_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zuojstlyepyn-idpyuc" Type="http://schemas.openxmlformats.org/officeDocument/2006/relationships/hyperlink" Target="https://dalil.kg/document/210111" TargetMode="External"/><Relationship Id="rIddqr7vfjd5uxplo4vk0m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2026-09-24T20:23:56.635Z</dcterms:created>
  <dcterms:modified xsi:type="dcterms:W3CDTF">2026-09-24T20:23:56.635Z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