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15 июля 2014 года № 261-р</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mq_cpen0afevwubmgsj_e">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о финансировании между Кыргызской Республикой и Международной ассоциацией развития (Проект по улучшению дорожных путей сообщения в Центральной Азии - ПУДПС ЦА-1).</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Кредит номер _______ - KG</w:t>
      </w:r>
    </w:p>
    <w:p>
      <w:pPr>
        <w:spacing w:after="120"/>
        <w:jc w:val="right"/>
      </w:pPr>
      <w:r>
        <w:rPr>
          <w:rFonts w:ascii="Arial" w:cs="Arial" w:eastAsia="Arial" w:hAnsi="Arial"/>
          <w:sz w:val="24"/>
          <w:szCs w:val="24"/>
        </w:rPr>
        <w:t xml:space="preserve">Грант номер ________ - KG</w:t>
      </w:r>
    </w:p>
    <w:p>
      <w:pPr>
        <w:spacing w:after="120"/>
        <w:jc w:val="both"/>
      </w:pPr>
      <w:r>
        <w:rPr>
          <w:rFonts w:ascii="Arial" w:cs="Arial" w:eastAsia="Arial" w:hAnsi="Arial"/>
          <w:sz w:val="24"/>
          <w:szCs w:val="24"/>
        </w:rPr>
        <w:t xml:space="preserve">СОГЛАШЕНИЕ
 о финансировании между Кыргызской Республикой и Международной Ассоциацией Развития (Проект по улучшению дорожных путей сообщения в Центральной Азии - ПУДПС ЦА-1)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 "__" _____________ 2014 года</w:t>
      </w:r>
    </w:p>
    <w:p>
      <w:pPr>
        <w:spacing w:after="120"/>
        <w:jc w:val="both"/>
      </w:pPr>
      <w:r>
        <w:rPr>
          <w:rFonts w:ascii="Arial" w:cs="Arial" w:eastAsia="Arial" w:hAnsi="Arial"/>
          <w:sz w:val="24"/>
          <w:szCs w:val="24"/>
        </w:rPr>
        <w:t xml:space="preserve">Соглашение от "___" ___________________, 2014 года, заключено между Кыргызской Республикой ("Получатель") и Международной ассоциацией развития ("Ассоциация").</w:t>
      </w:r>
    </w:p>
    <w:p>
      <w:pPr>
        <w:spacing w:after="120"/>
        <w:jc w:val="both"/>
      </w:pPr>
      <w:r>
        <w:rPr>
          <w:rFonts w:ascii="Arial" w:cs="Arial" w:eastAsia="Arial" w:hAnsi="Arial"/>
          <w:sz w:val="24"/>
          <w:szCs w:val="24"/>
        </w:rPr>
        <w:t xml:space="preserve">Поскольку:</w:t>
      </w:r>
    </w:p>
    <w:p>
      <w:pPr>
        <w:spacing w:after="120"/>
        <w:jc w:val="both"/>
      </w:pPr>
      <w:r>
        <w:rPr>
          <w:rFonts w:ascii="Arial" w:cs="Arial" w:eastAsia="Arial" w:hAnsi="Arial"/>
          <w:sz w:val="24"/>
          <w:szCs w:val="24"/>
        </w:rPr>
        <w:t xml:space="preserve">(А) Ассоциация получила письмо от Получателя, датированное 28 февраля 2014 года, подтверждающее его приверженность Программе по улучшению дорожных путей сообщения в Центральной Азии (ПУДПС ЦА), направленной на улучшение транспортного сообщения между соседними республиками в Центральной Азии по приоритетным трансграничным дорожным участкам, параллельно оказывая помощь в усовершенствовании практики эксплуатации и содержания дорог (Программа); и</w:t>
      </w:r>
    </w:p>
    <w:p>
      <w:pPr>
        <w:spacing w:after="120"/>
        <w:jc w:val="both"/>
      </w:pPr>
      <w:r>
        <w:rPr>
          <w:rFonts w:ascii="Arial" w:cs="Arial" w:eastAsia="Arial" w:hAnsi="Arial"/>
          <w:sz w:val="24"/>
          <w:szCs w:val="24"/>
        </w:rPr>
        <w:t xml:space="preserve">(Б) Получатель, будучи удовлетворенным технико-экономическим обоснованием и приоритетностью проекта (Проект), описанного в Приложении 1 к настоящему Соглашению, обратился к Банку с просьбой оказать содействие в финансировании Проекта в качестве первой фазы программы ПУДПС ЦА;</w:t>
      </w:r>
    </w:p>
    <w:p>
      <w:pPr>
        <w:spacing w:after="120"/>
        <w:jc w:val="both"/>
      </w:pPr>
      <w:r>
        <w:rPr>
          <w:rFonts w:ascii="Arial" w:cs="Arial" w:eastAsia="Arial" w:hAnsi="Arial"/>
          <w:sz w:val="24"/>
          <w:szCs w:val="24"/>
        </w:rPr>
        <w:t xml:space="preserve">Получатель и Ассоциация настоящим договариваются о следующем:</w:t>
      </w:r>
    </w:p>
    <w:p>
      <w:pPr>
        <w:spacing w:after="120"/>
        <w:jc w:val="both"/>
      </w:pPr>
      <w:r>
        <w:rPr>
          <w:rFonts w:ascii="Arial" w:cs="Arial" w:eastAsia="Arial" w:hAnsi="Arial"/>
          <w:sz w:val="24"/>
          <w:szCs w:val="24"/>
        </w:rPr>
        <w:t xml:space="preserve">Статья I - Общие положения,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условия (согласно определению, данному в Дополнении к настоящему Соглашению) составляют неотъемлемую часть настоящего Соглашения.</w:t>
      </w:r>
    </w:p>
    <w:p>
      <w:pPr>
        <w:spacing w:after="120"/>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соответствующие значения, закрепленные за ними Общими условиями или Дополнением к настоящему Соглашению.</w:t>
      </w:r>
    </w:p>
    <w:p>
      <w:pPr>
        <w:spacing w:after="120"/>
        <w:jc w:val="both"/>
      </w:pPr>
      <w:r>
        <w:rPr>
          <w:rFonts w:ascii="Arial" w:cs="Arial" w:eastAsia="Arial" w:hAnsi="Arial"/>
          <w:sz w:val="24"/>
          <w:szCs w:val="24"/>
        </w:rPr>
        <w:t xml:space="preserve">Статья II –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Ассоциация соглашается предоставить Получателю - на сроки и на условиях, изложенными или упоминаемых в настоящем Соглашении, - грант и кредит (совместно именуемые "Финансирование") в указанных ниже размерах для финансирования проекта, описываемого в Приложении 1 к настоящему Соглашению ("Проект"):</w:t>
      </w:r>
    </w:p>
    <w:p>
      <w:pPr>
        <w:spacing w:after="120"/>
        <w:jc w:val="both"/>
      </w:pPr>
      <w:r>
        <w:rPr>
          <w:rFonts w:ascii="Arial" w:cs="Arial" w:eastAsia="Arial" w:hAnsi="Arial"/>
          <w:sz w:val="24"/>
          <w:szCs w:val="24"/>
        </w:rPr>
        <w:t xml:space="preserve">(а) сумму, эквивалентную пяти миллионам тремстам тысячам специальных прав заимствования (5300000 СПЗ) ("Грант"), и</w:t>
      </w:r>
    </w:p>
    <w:p>
      <w:pPr>
        <w:spacing w:after="120"/>
        <w:jc w:val="both"/>
      </w:pPr>
      <w:r>
        <w:rPr>
          <w:rFonts w:ascii="Arial" w:cs="Arial" w:eastAsia="Arial" w:hAnsi="Arial"/>
          <w:sz w:val="24"/>
          <w:szCs w:val="24"/>
        </w:rPr>
        <w:t xml:space="preserve">(б) сумму, эквивалентную двадцати трем миллионам девятистам тысячам специальных прав заимствования (23900000 СПЗ) ("Кредит").</w:t>
      </w:r>
    </w:p>
    <w:p>
      <w:pPr>
        <w:spacing w:after="120"/>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IV Приложения 2 к настоящему Соглашению.</w:t>
      </w:r>
    </w:p>
    <w:p>
      <w:pPr>
        <w:spacing w:after="120"/>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120"/>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w:t>
      </w:r>
    </w:p>
    <w:p>
      <w:pPr>
        <w:spacing w:after="120"/>
        <w:jc w:val="both"/>
      </w:pPr>
      <w:r>
        <w:rPr>
          <w:rFonts w:ascii="Arial" w:cs="Arial" w:eastAsia="Arial" w:hAnsi="Arial"/>
          <w:sz w:val="24"/>
          <w:szCs w:val="24"/>
        </w:rPr>
        <w:t xml:space="preserve">2.05. Сроками платежа являются 15 февраля и 15 августа каждого года.</w:t>
      </w:r>
    </w:p>
    <w:p>
      <w:pPr>
        <w:spacing w:after="120"/>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представленном в Приложении 3 к настоящему Соглашению.</w:t>
      </w:r>
    </w:p>
    <w:p>
      <w:pPr>
        <w:spacing w:after="120"/>
        <w:jc w:val="both"/>
      </w:pPr>
      <w:r>
        <w:rPr>
          <w:rFonts w:ascii="Arial" w:cs="Arial" w:eastAsia="Arial" w:hAnsi="Arial"/>
          <w:sz w:val="24"/>
          <w:szCs w:val="24"/>
        </w:rPr>
        <w:t xml:space="preserve">2.07. Валютой платежей является доллар США.</w:t>
      </w:r>
    </w:p>
    <w:p>
      <w:pPr>
        <w:spacing w:after="120"/>
        <w:jc w:val="both"/>
      </w:pPr>
      <w:r>
        <w:rPr>
          <w:rFonts w:ascii="Arial" w:cs="Arial" w:eastAsia="Arial" w:hAnsi="Arial"/>
          <w:sz w:val="24"/>
          <w:szCs w:val="24"/>
        </w:rPr>
        <w:t xml:space="preserve">Статья III – 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Получатель заявляет о своей приверженности целям Проекта и Программы. С этой целью Получатель обеспечивает реализацию Проекта через Министерство транспорта и коммуникаций Кыргызской Республики, в соответствии с положениями Статьи IV Общих условий.</w:t>
      </w:r>
    </w:p>
    <w:p>
      <w:pPr>
        <w:spacing w:after="120"/>
        <w:jc w:val="both"/>
      </w:pPr>
      <w:r>
        <w:rPr>
          <w:rFonts w:ascii="Arial" w:cs="Arial" w:eastAsia="Arial" w:hAnsi="Arial"/>
          <w:sz w:val="24"/>
          <w:szCs w:val="24"/>
        </w:rPr>
        <w:t xml:space="preserve">3.02. Без ограничений в отношении положений пункта 3.01 настоящего Соглашения и в отсутствие иных договоренностей между Получателем и Ассоциацией Получатель обеспечивает реализацию Проекта в соответствии с положениями Приложения 2 к настоящему Соглашению.</w:t>
      </w:r>
    </w:p>
    <w:p>
      <w:pPr>
        <w:spacing w:after="120"/>
        <w:jc w:val="both"/>
      </w:pPr>
      <w:r>
        <w:rPr>
          <w:rFonts w:ascii="Arial" w:cs="Arial" w:eastAsia="Arial" w:hAnsi="Arial"/>
          <w:sz w:val="24"/>
          <w:szCs w:val="24"/>
        </w:rPr>
        <w:t xml:space="preserve">Статья IV - Вступление в силу; прекращение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4.01. Дополнительное условие вступления в силу заключается в следующем: на Управление автомобильными дорогами "Ош - Баткен - Исфана" (УАД ОБИ) возложена ответственность за проведение текущего ремонта и аварийных работ на дорожных участках вдоль автомобильного транспортного коридора Ош - Баткен - Исфана согласно ежегодному Договору на оказание услуг по содержанию дорог, после уведомления уполномоченного органа. Окончательный Срок вступления в силу составляет сто двадцать (120) дней с момента подписания настоящего Соглашения.</w:t>
      </w:r>
    </w:p>
    <w:p>
      <w:pPr>
        <w:spacing w:after="120"/>
        <w:jc w:val="both"/>
      </w:pPr>
      <w:r>
        <w:rPr>
          <w:rFonts w:ascii="Arial" w:cs="Arial" w:eastAsia="Arial" w:hAnsi="Arial"/>
          <w:sz w:val="24"/>
          <w:szCs w:val="24"/>
        </w:rPr>
        <w:t xml:space="preserve">4.02. С целью соблюдения положений Раздела 8.05 (б) Общих условий, срок окончания действия обязательств Получателя по настоящему Соглашению (за исключением обязательств по платежам) составляет двадцать (20) лет с момента подписания настоящего Соглашения.</w:t>
      </w:r>
    </w:p>
    <w:p>
      <w:pPr>
        <w:spacing w:after="120"/>
        <w:jc w:val="both"/>
      </w:pPr>
      <w:r>
        <w:rPr>
          <w:rFonts w:ascii="Arial" w:cs="Arial" w:eastAsia="Arial" w:hAnsi="Arial"/>
          <w:sz w:val="24"/>
          <w:szCs w:val="24"/>
        </w:rPr>
        <w:t xml:space="preserve">Статья V - Представители; адреса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5.01. Представителем Получателя является министр финансов Получателя.</w:t>
      </w:r>
    </w:p>
    <w:p>
      <w:pPr>
        <w:spacing w:after="120"/>
        <w:jc w:val="left"/>
      </w:pPr>
      <w:r>
        <w:rPr>
          <w:rFonts w:ascii="Arial" w:cs="Arial" w:eastAsia="Arial" w:hAnsi="Arial"/>
          <w:sz w:val="24"/>
          <w:szCs w:val="24"/>
        </w:rPr>
        <w:t xml:space="preserve">5.02. Адрес Получателя:</w:t>
      </w:r>
    </w:p>
    <w:p>
      <w:pPr>
        <w:spacing w:after="120"/>
        <w:jc w:val="left"/>
      </w:pPr>
      <w:r>
        <w:rPr>
          <w:rFonts w:ascii="Arial" w:cs="Arial" w:eastAsia="Arial" w:hAnsi="Arial"/>
          <w:sz w:val="24"/>
          <w:szCs w:val="24"/>
        </w:rPr>
        <w:t xml:space="preserve">бульвар Эркиндик, 58</w:t>
      </w:r>
    </w:p>
    <w:p>
      <w:pPr>
        <w:spacing w:after="120"/>
        <w:jc w:val="left"/>
      </w:pPr>
      <w:r>
        <w:rPr>
          <w:rFonts w:ascii="Arial" w:cs="Arial" w:eastAsia="Arial" w:hAnsi="Arial"/>
          <w:sz w:val="24"/>
          <w:szCs w:val="24"/>
        </w:rPr>
        <w:t xml:space="preserve">г.Бишкек, 720040</w:t>
      </w:r>
    </w:p>
    <w:p>
      <w:pPr>
        <w:spacing w:after="120"/>
        <w:jc w:val="left"/>
      </w:pP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jc w:val="left"/>
      </w:pPr>
      <w:r>
        <w:rPr>
          <w:rFonts w:ascii="Arial" w:cs="Arial" w:eastAsia="Arial" w:hAnsi="Arial"/>
          <w:sz w:val="24"/>
          <w:szCs w:val="24"/>
        </w:rPr>
        <w:t xml:space="preserve">5.03. Адрес Ассоциации:</w:t>
      </w:r>
    </w:p>
    <w:p>
      <w:pPr>
        <w:spacing w:after="120"/>
        <w:jc w:val="left"/>
      </w:pPr>
      <w:r>
        <w:rPr>
          <w:rFonts w:ascii="Arial" w:cs="Arial" w:eastAsia="Arial" w:hAnsi="Arial"/>
          <w:sz w:val="24"/>
          <w:szCs w:val="24"/>
        </w:rPr>
        <w:t xml:space="preserve">International Development Association</w:t>
      </w:r>
    </w:p>
    <w:p>
      <w:pPr>
        <w:spacing w:after="120"/>
        <w:jc w:val="left"/>
      </w:pPr>
      <w:r>
        <w:rPr>
          <w:rFonts w:ascii="Arial" w:cs="Arial" w:eastAsia="Arial" w:hAnsi="Arial"/>
          <w:sz w:val="24"/>
          <w:szCs w:val="24"/>
        </w:rPr>
        <w:t xml:space="preserve">1818 Н Street, N.W.</w:t>
      </w:r>
    </w:p>
    <w:p>
      <w:pPr>
        <w:spacing w:after="120"/>
        <w:jc w:val="left"/>
      </w:pPr>
      <w:r>
        <w:rPr>
          <w:rFonts w:ascii="Arial" w:cs="Arial" w:eastAsia="Arial" w:hAnsi="Arial"/>
          <w:sz w:val="24"/>
          <w:szCs w:val="24"/>
        </w:rPr>
        <w:t xml:space="preserve">Washington, D.C.20433</w:t>
      </w:r>
    </w:p>
    <w:p>
      <w:pPr>
        <w:spacing w:after="120"/>
        <w:jc w:val="left"/>
      </w:pPr>
      <w:r>
        <w:rPr>
          <w:rFonts w:ascii="Arial" w:cs="Arial" w:eastAsia="Arial" w:hAnsi="Arial"/>
          <w:sz w:val="24"/>
          <w:szCs w:val="24"/>
        </w:rPr>
        <w:t xml:space="preserve">United States of America</w:t>
      </w:r>
    </w:p>
    <w:p>
      <w:pPr>
        <w:tabs>
          <w:tab w:val="right" w:pos="10178"/>
        </w:tabs>
        <w:spacing w:after="120"/>
      </w:pPr>
      <w:r>
        <w:rPr>
          <w:rFonts w:ascii="Arial" w:cs="Arial" w:eastAsia="Arial" w:hAnsi="Arial"/>
          <w:sz w:val="24"/>
          <w:szCs w:val="24"/>
        </w:rPr>
        <w:t xml:space="preserve">Телеграфный адрес: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INDEVAS</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120"/>
        <w:jc w:val="left"/>
      </w:pPr>
      <w:r>
        <w:rPr>
          <w:rFonts w:ascii="Arial" w:cs="Arial" w:eastAsia="Arial" w:hAnsi="Arial"/>
          <w:sz w:val="24"/>
          <w:szCs w:val="24"/>
        </w:rPr>
        <w:t xml:space="preserve">Washington, D.C.</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Соглашение заключено в городе Бишкек, Кыргызская Республика, в день и год, указанные выше.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w:t>
      </w:r>
    </w:p>
    <w:p>
      <w:pPr>
        <w:spacing w:after="120"/>
        <w:jc w:val="both"/>
      </w:pPr>
      <w:r>
        <w:rPr>
          <w:rFonts w:ascii="Arial" w:cs="Arial" w:eastAsia="Arial" w:hAnsi="Arial"/>
          <w:sz w:val="24"/>
          <w:szCs w:val="24"/>
        </w:rPr>
        <w:t xml:space="preserve">Должность: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Международной ассоциации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w:t>
      </w:r>
    </w:p>
    <w:p>
      <w:pPr>
        <w:spacing w:after="120"/>
        <w:jc w:val="both"/>
      </w:pPr>
      <w:r>
        <w:rPr>
          <w:rFonts w:ascii="Arial" w:cs="Arial" w:eastAsia="Arial" w:hAnsi="Arial"/>
          <w:sz w:val="24"/>
          <w:szCs w:val="24"/>
        </w:rPr>
        <w:t xml:space="preserve">Должность: 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Описание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Проекта заключается в улучшении транспортного сообщения между Кыргызской Республикой и Республикой Таджикистан по приоритетным трансграничным дорожным участкам в Баткенской области, параллельно оказывая помощь в усовершенствовании практики эксплуатации и содержания дорог.</w:t>
      </w:r>
    </w:p>
    <w:p>
      <w:pPr>
        <w:spacing w:after="120"/>
        <w:jc w:val="both"/>
      </w:pPr>
      <w:r>
        <w:rPr>
          <w:rFonts w:ascii="Arial" w:cs="Arial" w:eastAsia="Arial" w:hAnsi="Arial"/>
          <w:sz w:val="24"/>
          <w:szCs w:val="24"/>
        </w:rPr>
        <w:t xml:space="preserve">Проект состоит из следующих частей:</w:t>
      </w:r>
    </w:p>
    <w:p>
      <w:pPr>
        <w:spacing w:after="120"/>
        <w:jc w:val="both"/>
      </w:pPr>
      <w:r>
        <w:rPr>
          <w:rFonts w:ascii="Arial" w:cs="Arial" w:eastAsia="Arial" w:hAnsi="Arial"/>
          <w:sz w:val="24"/>
          <w:szCs w:val="24"/>
        </w:rPr>
        <w:t xml:space="preserve">Часть I: Реабилитация приоритетных дорожных участков в Баткенской области.</w:t>
      </w:r>
    </w:p>
    <w:p>
      <w:pPr>
        <w:spacing w:after="120"/>
        <w:jc w:val="both"/>
      </w:pPr>
      <w:r>
        <w:rPr>
          <w:rFonts w:ascii="Arial" w:cs="Arial" w:eastAsia="Arial" w:hAnsi="Arial"/>
          <w:sz w:val="24"/>
          <w:szCs w:val="24"/>
        </w:rPr>
        <w:t xml:space="preserve">Реабилитация посредством выполнения работ и оказания консультационных услуг около 56 километров дорожного участка в Баткенской области, вдоль и вблизи дороги, связывающей города Ош, Баткен и Исфана.</w:t>
      </w:r>
    </w:p>
    <w:p>
      <w:pPr>
        <w:spacing w:after="120"/>
        <w:jc w:val="both"/>
      </w:pPr>
      <w:r>
        <w:rPr>
          <w:rFonts w:ascii="Arial" w:cs="Arial" w:eastAsia="Arial" w:hAnsi="Arial"/>
          <w:sz w:val="24"/>
          <w:szCs w:val="24"/>
        </w:rPr>
        <w:t xml:space="preserve">Часть II: Усовершенствование практики эксплуатации и содержания дорог.</w:t>
      </w:r>
    </w:p>
    <w:p>
      <w:pPr>
        <w:spacing w:after="120"/>
        <w:jc w:val="both"/>
      </w:pPr>
      <w:r>
        <w:rPr>
          <w:rFonts w:ascii="Arial" w:cs="Arial" w:eastAsia="Arial" w:hAnsi="Arial"/>
          <w:sz w:val="24"/>
          <w:szCs w:val="24"/>
        </w:rPr>
        <w:t xml:space="preserve">Обеспечение товарами и оказание консультационных услуг по усовершенствованию практики эксплуатации и содержания дорог, включая (I) заключение Договора на оказание услуг между Министерством транспорта и коммуникаций Кыргызской Республики (далее - МТК) и УАД ОБИ; (II) предоставление оборудования УАД ОБИ и его местным дорожно-эксплуатационным подразделениям; (III) предоставление технической помощи руководству УАД ОБИ по применяемым в международной практике методам содержания дорог; и (IV) изучение региональных стандартов, норм и параметров весовых габаритов транспортных средств и осевой нагрузки и тарификации, разработку стратегического плана для транспортного контроля и создание системы контроля осевой нагрузки.</w:t>
      </w:r>
    </w:p>
    <w:p>
      <w:pPr>
        <w:spacing w:after="120"/>
        <w:jc w:val="both"/>
      </w:pPr>
      <w:r>
        <w:rPr>
          <w:rFonts w:ascii="Arial" w:cs="Arial" w:eastAsia="Arial" w:hAnsi="Arial"/>
          <w:sz w:val="24"/>
          <w:szCs w:val="24"/>
        </w:rPr>
        <w:t xml:space="preserve">Часть III: Управление и реализация Проекта.</w:t>
      </w:r>
    </w:p>
    <w:p>
      <w:pPr>
        <w:spacing w:after="120"/>
        <w:jc w:val="both"/>
      </w:pPr>
      <w:r>
        <w:rPr>
          <w:rFonts w:ascii="Arial" w:cs="Arial" w:eastAsia="Arial" w:hAnsi="Arial"/>
          <w:sz w:val="24"/>
          <w:szCs w:val="24"/>
        </w:rPr>
        <w:t xml:space="preserve">Поддержка координации, реализации и управления Проектом посредством предоставления товаров и оказания консультационных услуг, обучения и финансирования Дополнительных операционных расходов, включая аудит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Исполнение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Механизмы реализации</w:t>
      </w:r>
    </w:p>
    <w:p>
      <w:pPr>
        <w:spacing w:after="120"/>
        <w:jc w:val="both"/>
      </w:pPr>
      <w:r>
        <w:rPr>
          <w:rFonts w:ascii="Arial" w:cs="Arial" w:eastAsia="Arial" w:hAnsi="Arial"/>
          <w:sz w:val="24"/>
          <w:szCs w:val="24"/>
        </w:rPr>
        <w:t xml:space="preserve">А. Институциональные механизмы</w:t>
      </w:r>
    </w:p>
    <w:p>
      <w:pPr>
        <w:spacing w:after="120"/>
        <w:jc w:val="both"/>
      </w:pPr>
      <w:r>
        <w:rPr>
          <w:rFonts w:ascii="Arial" w:cs="Arial" w:eastAsia="Arial" w:hAnsi="Arial"/>
          <w:sz w:val="24"/>
          <w:szCs w:val="24"/>
        </w:rPr>
        <w:t xml:space="preserve">Получатель реализует Проект в соответствии со следующими институциональными и иными механизмами:</w:t>
      </w:r>
    </w:p>
    <w:p>
      <w:pPr>
        <w:spacing w:after="120"/>
        <w:jc w:val="both"/>
      </w:pPr>
      <w:r>
        <w:rPr>
          <w:rFonts w:ascii="Arial" w:cs="Arial" w:eastAsia="Arial" w:hAnsi="Arial"/>
          <w:sz w:val="24"/>
          <w:szCs w:val="24"/>
        </w:rPr>
        <w:t xml:space="preserve">1. Получатель, действуя через МТК, реализует Проект в соответствии с требованиями, критериями, организационными механизмами и операционными процедурами, изложенными в Операционном руководстве Проекта, Рамочный план по переселению и ОВОС, и не может уступать, вносить изменения, отменять или отказываться от исполнения каких-либо положений Операционного руководства Проекта, Рамочный план по переселению или ОВОС без предварительного одобрения Ассоциации.</w:t>
      </w:r>
    </w:p>
    <w:p>
      <w:pPr>
        <w:spacing w:after="120"/>
        <w:jc w:val="both"/>
      </w:pPr>
      <w:r>
        <w:rPr>
          <w:rFonts w:ascii="Arial" w:cs="Arial" w:eastAsia="Arial" w:hAnsi="Arial"/>
          <w:sz w:val="24"/>
          <w:szCs w:val="24"/>
        </w:rPr>
        <w:t xml:space="preserve">2. На протяжении всего срока реализации Проекта Получатель обеспечивает ГРИП организационными, кадровыми ресурсами и техническими заданиями, каждое из которых должно удовлетворять требованиям Ассоциации. В штат ГРИП входят (а) инженер-дорожник, (б) финансовый менеджер; (в) специалист по выплатам; (г) специалист по закупкам; (д) специалист по охране окружающей среды; (е) специалист по контролю за исполнением контрактов; (е) специалист по связям; (ж) юрист и (з) два офис-менеджера/переводчика.</w:t>
      </w:r>
    </w:p>
    <w:p>
      <w:pPr>
        <w:spacing w:after="120"/>
        <w:jc w:val="both"/>
      </w:pPr>
      <w:r>
        <w:rPr>
          <w:rFonts w:ascii="Arial" w:cs="Arial" w:eastAsia="Arial" w:hAnsi="Arial"/>
          <w:sz w:val="24"/>
          <w:szCs w:val="24"/>
        </w:rPr>
        <w:t xml:space="preserve">3. В течение тридцати (30) дней с Даты вступления в силу Соглашения Получатель обеспечит установку в ГРИП обновленного программного обеспечения по бухгалтерскому учету.</w:t>
      </w:r>
    </w:p>
    <w:p>
      <w:pPr>
        <w:spacing w:after="120"/>
        <w:jc w:val="both"/>
      </w:pPr>
      <w:r>
        <w:rPr>
          <w:rFonts w:ascii="Arial" w:cs="Arial" w:eastAsia="Arial" w:hAnsi="Arial"/>
          <w:sz w:val="24"/>
          <w:szCs w:val="24"/>
        </w:rPr>
        <w:t xml:space="preserve">4. В течение трех месяцев с Даты вступления в силу Соглашения Получатель обеспечит подписание ГРИП трудовых договоров с: (а) инженером-дорожником, (б) специалистом по контролю за исполнением контрактов и (в) юристом, обладающими квалификацией и опытом, которые удовлетворяют Ассоциацию.</w:t>
      </w:r>
    </w:p>
    <w:p>
      <w:pPr>
        <w:spacing w:after="120"/>
        <w:jc w:val="both"/>
      </w:pPr>
      <w:r>
        <w:rPr>
          <w:rFonts w:ascii="Arial" w:cs="Arial" w:eastAsia="Arial" w:hAnsi="Arial"/>
          <w:sz w:val="24"/>
          <w:szCs w:val="24"/>
        </w:rPr>
        <w:t xml:space="preserve">5. На протяжении всего срока реализации Проекта Получатель обеспечивает УАД ОБИ организационными и кадровыми ресурсами, предусматриваемыми Ежегодным договором на оказание услуг по содержанию дорог, которые удовлетворяют Ассоциацию.</w:t>
      </w:r>
    </w:p>
    <w:p>
      <w:pPr>
        <w:spacing w:after="120"/>
        <w:jc w:val="both"/>
      </w:pPr>
      <w:r>
        <w:rPr>
          <w:rFonts w:ascii="Arial" w:cs="Arial" w:eastAsia="Arial" w:hAnsi="Arial"/>
          <w:sz w:val="24"/>
          <w:szCs w:val="24"/>
        </w:rPr>
        <w:t xml:space="preserve">Б. Предотвращение коррупции</w:t>
      </w:r>
    </w:p>
    <w:p>
      <w:pPr>
        <w:spacing w:after="120"/>
        <w:jc w:val="both"/>
      </w:pPr>
      <w:r>
        <w:rPr>
          <w:rFonts w:ascii="Arial" w:cs="Arial" w:eastAsia="Arial" w:hAnsi="Arial"/>
          <w:sz w:val="24"/>
          <w:szCs w:val="24"/>
        </w:rPr>
        <w:t xml:space="preserve">Получатель обеспечивает реализацию Проекта в соответствии с положениями Руководства по предотвращению коррупции.</w:t>
      </w:r>
    </w:p>
    <w:p>
      <w:pPr>
        <w:spacing w:after="120"/>
        <w:jc w:val="both"/>
      </w:pPr>
      <w:r>
        <w:rPr>
          <w:rFonts w:ascii="Arial" w:cs="Arial" w:eastAsia="Arial" w:hAnsi="Arial"/>
          <w:sz w:val="24"/>
          <w:szCs w:val="24"/>
        </w:rPr>
        <w:t xml:space="preserve">В. Меры по защите</w:t>
      </w:r>
    </w:p>
    <w:p>
      <w:pPr>
        <w:spacing w:after="120"/>
        <w:jc w:val="both"/>
      </w:pPr>
      <w:r>
        <w:rPr>
          <w:rFonts w:ascii="Arial" w:cs="Arial" w:eastAsia="Arial" w:hAnsi="Arial"/>
          <w:sz w:val="24"/>
          <w:szCs w:val="24"/>
        </w:rPr>
        <w:t xml:space="preserve">1. Получатель, действуя через МТК:</w:t>
      </w:r>
    </w:p>
    <w:p>
      <w:pPr>
        <w:spacing w:after="120"/>
        <w:jc w:val="both"/>
      </w:pPr>
      <w:r>
        <w:rPr>
          <w:rFonts w:ascii="Arial" w:cs="Arial" w:eastAsia="Arial" w:hAnsi="Arial"/>
          <w:sz w:val="24"/>
          <w:szCs w:val="24"/>
        </w:rPr>
        <w:t xml:space="preserve">(а) до начала любых работ на указанных участках дороги на проектной территории, где может потребоваться приобретение земли или переселение, подготовит План(ы) действий по переселению, удовлетворяющий(ие) требованиям Ассоциации в соответствии с Рамочный план по переселению, а также опубликует и проведет консультации по указанному Краткому плану по переселению согласно положениям Рамочного плана по переселению (далее РПП);</w:t>
      </w:r>
    </w:p>
    <w:p>
      <w:pPr>
        <w:spacing w:after="120"/>
        <w:jc w:val="both"/>
      </w:pPr>
      <w:r>
        <w:rPr>
          <w:rFonts w:ascii="Arial" w:cs="Arial" w:eastAsia="Arial" w:hAnsi="Arial"/>
          <w:sz w:val="24"/>
          <w:szCs w:val="24"/>
        </w:rPr>
        <w:t xml:space="preserve">(б) реализует Проект согласно Краткому плану по переселению, по обстоятельствам; и</w:t>
      </w:r>
    </w:p>
    <w:p>
      <w:pPr>
        <w:spacing w:after="120"/>
        <w:jc w:val="both"/>
      </w:pPr>
      <w:r>
        <w:rPr>
          <w:rFonts w:ascii="Arial" w:cs="Arial" w:eastAsia="Arial" w:hAnsi="Arial"/>
          <w:sz w:val="24"/>
          <w:szCs w:val="24"/>
        </w:rPr>
        <w:t xml:space="preserve">(в) не вносит изменения, не приостанавливает действие и не отменяет никакие положения Краткого плана по переселению, по обстоятельствам, без предварительного согласия Ассоциации.</w:t>
      </w:r>
    </w:p>
    <w:p>
      <w:pPr>
        <w:spacing w:after="120"/>
        <w:jc w:val="both"/>
      </w:pPr>
      <w:r>
        <w:rPr>
          <w:rFonts w:ascii="Arial" w:cs="Arial" w:eastAsia="Arial" w:hAnsi="Arial"/>
          <w:sz w:val="24"/>
          <w:szCs w:val="24"/>
        </w:rPr>
        <w:t xml:space="preserve">2. Получатель, действуя через МТК:</w:t>
      </w:r>
    </w:p>
    <w:p>
      <w:pPr>
        <w:spacing w:after="120"/>
        <w:jc w:val="both"/>
      </w:pPr>
      <w:r>
        <w:rPr>
          <w:rFonts w:ascii="Arial" w:cs="Arial" w:eastAsia="Arial" w:hAnsi="Arial"/>
          <w:sz w:val="24"/>
          <w:szCs w:val="24"/>
        </w:rPr>
        <w:t xml:space="preserve">(а) до начала любых работ по Проекту разрабатывает План управления окружающей средой, удовлетворяющий требованиям Ассоциации, согласно ОВОС;</w:t>
      </w:r>
    </w:p>
    <w:p>
      <w:pPr>
        <w:spacing w:after="120"/>
        <w:jc w:val="both"/>
      </w:pPr>
      <w:r>
        <w:rPr>
          <w:rFonts w:ascii="Arial" w:cs="Arial" w:eastAsia="Arial" w:hAnsi="Arial"/>
          <w:sz w:val="24"/>
          <w:szCs w:val="24"/>
        </w:rPr>
        <w:t xml:space="preserve">(б) реализует Проект согласно ОВОС и Плану мер по охране окружающей среды, и</w:t>
      </w:r>
    </w:p>
    <w:p>
      <w:pPr>
        <w:spacing w:after="120"/>
        <w:jc w:val="both"/>
      </w:pPr>
      <w:r>
        <w:rPr>
          <w:rFonts w:ascii="Arial" w:cs="Arial" w:eastAsia="Arial" w:hAnsi="Arial"/>
          <w:sz w:val="24"/>
          <w:szCs w:val="24"/>
        </w:rPr>
        <w:t xml:space="preserve">(в) не вносит изменения, не приостанавливает действие и не отменяет никакие положения Плана мер по охране окружающей среды без предварительного одобрения Ассоциации.</w:t>
      </w:r>
    </w:p>
    <w:p>
      <w:pPr>
        <w:spacing w:after="120"/>
        <w:jc w:val="both"/>
      </w:pPr>
      <w:r>
        <w:rPr>
          <w:rFonts w:ascii="Arial" w:cs="Arial" w:eastAsia="Arial" w:hAnsi="Arial"/>
          <w:sz w:val="24"/>
          <w:szCs w:val="24"/>
        </w:rPr>
        <w:t xml:space="preserve">Раздел II. Мониторинг, отчетность и оценка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Отчетность по Проекту</w:t>
      </w:r>
    </w:p>
    <w:p>
      <w:pPr>
        <w:spacing w:after="120"/>
        <w:jc w:val="both"/>
      </w:pPr>
      <w:r>
        <w:rPr>
          <w:rFonts w:ascii="Arial" w:cs="Arial" w:eastAsia="Arial" w:hAnsi="Arial"/>
          <w:sz w:val="24"/>
          <w:szCs w:val="24"/>
        </w:rPr>
        <w:t xml:space="preserve">Получатель осуществляет мониторинг и оценку хода реализации Проекта и составляет отчетность по Проекту в соответствии с положениями Раздела 4.08 Общих условий и на основании приемлемых для Ассоциации индикаторов. Каждый такой Отчет по Проекту охватывает период продолжительностью в одно календарное полугодие и должен направляться в Ассоциацию не позднее сорока пяти (45) дней с момента окончания отчетного периода, охватываемого таким отчетом.</w:t>
      </w:r>
    </w:p>
    <w:p>
      <w:pPr>
        <w:spacing w:after="120"/>
        <w:jc w:val="both"/>
      </w:pPr>
      <w:r>
        <w:rPr>
          <w:rFonts w:ascii="Arial" w:cs="Arial" w:eastAsia="Arial" w:hAnsi="Arial"/>
          <w:sz w:val="24"/>
          <w:szCs w:val="24"/>
        </w:rPr>
        <w:t xml:space="preserve">Б. Финансовое управление, финансовые отчеты и аудиты</w:t>
      </w:r>
    </w:p>
    <w:p>
      <w:pPr>
        <w:spacing w:after="120"/>
        <w:jc w:val="both"/>
      </w:pPr>
      <w:r>
        <w:rPr>
          <w:rFonts w:ascii="Arial" w:cs="Arial" w:eastAsia="Arial" w:hAnsi="Arial"/>
          <w:sz w:val="24"/>
          <w:szCs w:val="24"/>
        </w:rPr>
        <w:t xml:space="preserve">1. Получатель ведет или обеспечивает ведение системы финансового управления в соответствии с положениями Раздела 4.09 Общих условий.</w:t>
      </w:r>
    </w:p>
    <w:p>
      <w:pPr>
        <w:spacing w:after="120"/>
        <w:jc w:val="both"/>
      </w:pPr>
      <w:r>
        <w:rPr>
          <w:rFonts w:ascii="Arial" w:cs="Arial" w:eastAsia="Arial" w:hAnsi="Arial"/>
          <w:sz w:val="24"/>
          <w:szCs w:val="24"/>
        </w:rPr>
        <w:t xml:space="preserve">2. Получатель составляет и предоставляет в Ассоциацию, не позднее сорока пяти (45) дней после окончания каждого календарного квартала, не прошедшие аудиторскую проверку промежуточные квартальные финансовые отчеты по Проекту, форма и содержание которых удовлетворяют Ассоциацию.</w:t>
      </w:r>
    </w:p>
    <w:p>
      <w:pPr>
        <w:spacing w:after="120"/>
        <w:jc w:val="both"/>
      </w:pPr>
      <w:r>
        <w:rPr>
          <w:rFonts w:ascii="Arial" w:cs="Arial" w:eastAsia="Arial" w:hAnsi="Arial"/>
          <w:sz w:val="24"/>
          <w:szCs w:val="24"/>
        </w:rPr>
        <w:t xml:space="preserve">3. Получатель обеспечивает аудит своих Финансовых отчетов в соответствии с положениями Раздела 4.09 (б) Общих условий. Каждый аудит Финансовых отчетов должен охватывать период продолжительностью в один финансовый год Получателя. Прошедшие аудиторскую проверку Финансовые отчеты за каждый такой период должны быть представлены в Ассоциацию не позднее шести (6) месяцев после окончания такого периода.</w:t>
      </w:r>
    </w:p>
    <w:p>
      <w:pPr>
        <w:spacing w:after="120"/>
        <w:jc w:val="both"/>
      </w:pPr>
      <w:r>
        <w:rPr>
          <w:rFonts w:ascii="Arial" w:cs="Arial" w:eastAsia="Arial" w:hAnsi="Arial"/>
          <w:sz w:val="24"/>
          <w:szCs w:val="24"/>
        </w:rPr>
        <w:t xml:space="preserve">Раздел III. Закупки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Общее</w:t>
      </w:r>
    </w:p>
    <w:p>
      <w:pPr>
        <w:spacing w:after="120"/>
        <w:jc w:val="both"/>
      </w:pPr>
      <w:r>
        <w:rPr>
          <w:rFonts w:ascii="Arial" w:cs="Arial" w:eastAsia="Arial" w:hAnsi="Arial"/>
          <w:sz w:val="24"/>
          <w:szCs w:val="24"/>
        </w:rPr>
        <w:t xml:space="preserve">1. Товары, работы и неконсультационные услуги. Закупка всех необходимых для реализации Проекта товаров, работ и неконсультационных услуг, подлежащих финансированию из средств Финансирования, производится в соответствии с требованиями, излагаемыми или упоминаемыми в Разделе I Руководства по закупкам, и в соответствии с положениями настоящего Раздела.</w:t>
      </w:r>
    </w:p>
    <w:p>
      <w:pPr>
        <w:spacing w:after="120"/>
        <w:jc w:val="both"/>
      </w:pPr>
      <w:r>
        <w:rPr>
          <w:rFonts w:ascii="Arial" w:cs="Arial" w:eastAsia="Arial" w:hAnsi="Arial"/>
          <w:sz w:val="24"/>
          <w:szCs w:val="24"/>
        </w:rPr>
        <w:t xml:space="preserve">2. Услуги консультантов. Закупка всех необходимых для реализации Проекта услуг консультантов, подлежащих финансированию из средств Финансирования, производится в соответствии с требованиями, излагаемыми или упоминаемыми в Разделах I и IV Руководства по отбору консультантов, и в соответствии с положениями настоящего Раздела.</w:t>
      </w:r>
    </w:p>
    <w:p>
      <w:pPr>
        <w:spacing w:after="120"/>
        <w:jc w:val="both"/>
      </w:pPr>
      <w:r>
        <w:rPr>
          <w:rFonts w:ascii="Arial" w:cs="Arial" w:eastAsia="Arial" w:hAnsi="Arial"/>
          <w:sz w:val="24"/>
          <w:szCs w:val="24"/>
        </w:rPr>
        <w:t xml:space="preserve">3. Определения. Обозначенные заглавными буквами термины, которые используются в данном Приложении для описания отдельных методов закупок или методов рассмотрения Ассоциацией отдельных контрактов, относятся к соответствующим методам, описываемым в Разделах II и III Руководства по закупкам или в Разделах II, III, IV и V Руководства по отбору консультантов, по обстоятельствам.</w:t>
      </w:r>
    </w:p>
    <w:p>
      <w:pPr>
        <w:spacing w:after="120"/>
        <w:jc w:val="both"/>
      </w:pPr>
      <w:r>
        <w:rPr>
          <w:rFonts w:ascii="Arial" w:cs="Arial" w:eastAsia="Arial" w:hAnsi="Arial"/>
          <w:sz w:val="24"/>
          <w:szCs w:val="24"/>
        </w:rPr>
        <w:t xml:space="preserve">Б. Частные методы закупок товаров, работ и неконсультационных услуг</w:t>
      </w:r>
    </w:p>
    <w:p>
      <w:pPr>
        <w:spacing w:after="120"/>
        <w:jc w:val="both"/>
      </w:pPr>
      <w:r>
        <w:rPr>
          <w:rFonts w:ascii="Arial" w:cs="Arial" w:eastAsia="Arial" w:hAnsi="Arial"/>
          <w:sz w:val="24"/>
          <w:szCs w:val="24"/>
        </w:rPr>
        <w:t xml:space="preserve">1. Международные конкурсные торги. Если иное не предусмотрено в пункте 2 ниже, товары, работы и неконсультационные услуги закупаются по контрактам, присуждаемым на основании Международных конкурсных торгов.</w:t>
      </w:r>
    </w:p>
    <w:p>
      <w:pPr>
        <w:spacing w:after="120"/>
        <w:jc w:val="both"/>
      </w:pPr>
      <w:r>
        <w:rPr>
          <w:rFonts w:ascii="Arial" w:cs="Arial" w:eastAsia="Arial" w:hAnsi="Arial"/>
          <w:sz w:val="24"/>
          <w:szCs w:val="24"/>
        </w:rPr>
        <w:t xml:space="preserve">2. Прочие методы закупок товаров, работ и неконсультационных услуг. Следующие методы закупок, отличные от Международных конкурсных торгов, могут использоваться для закупки товаров, работ и неконсультационных услуг по контрактам, указанным в Плане закупок:</w:t>
      </w:r>
    </w:p>
    <w:p>
      <w:pPr>
        <w:spacing w:after="120"/>
        <w:jc w:val="both"/>
      </w:pPr>
      <w:r>
        <w:rPr>
          <w:rFonts w:ascii="Arial" w:cs="Arial" w:eastAsia="Arial" w:hAnsi="Arial"/>
          <w:sz w:val="24"/>
          <w:szCs w:val="24"/>
        </w:rPr>
        <w:t xml:space="preserve">(а) Национальные конкурсные торги, при условии выполнения дополнительных положений, предусматриваемых Дополнением к настоящему Приложению;</w:t>
      </w:r>
    </w:p>
    <w:p>
      <w:pPr>
        <w:spacing w:after="120"/>
        <w:jc w:val="both"/>
      </w:pPr>
      <w:r>
        <w:rPr>
          <w:rFonts w:ascii="Arial" w:cs="Arial" w:eastAsia="Arial" w:hAnsi="Arial"/>
          <w:sz w:val="24"/>
          <w:szCs w:val="24"/>
        </w:rPr>
        <w:t xml:space="preserve">(б) Закупки в свободной торговле; и</w:t>
      </w:r>
    </w:p>
    <w:p>
      <w:pPr>
        <w:spacing w:after="120"/>
        <w:jc w:val="both"/>
      </w:pPr>
      <w:r>
        <w:rPr>
          <w:rFonts w:ascii="Arial" w:cs="Arial" w:eastAsia="Arial" w:hAnsi="Arial"/>
          <w:sz w:val="24"/>
          <w:szCs w:val="24"/>
        </w:rPr>
        <w:t xml:space="preserve">(в) Прямое заключение контрактов.</w:t>
      </w:r>
    </w:p>
    <w:p>
      <w:pPr>
        <w:spacing w:after="120"/>
        <w:jc w:val="both"/>
      </w:pPr>
      <w:r>
        <w:rPr>
          <w:rFonts w:ascii="Arial" w:cs="Arial" w:eastAsia="Arial" w:hAnsi="Arial"/>
          <w:sz w:val="24"/>
          <w:szCs w:val="24"/>
        </w:rPr>
        <w:t xml:space="preserve">В. Частные методы закупок услуг консультантов</w:t>
      </w:r>
    </w:p>
    <w:p>
      <w:pPr>
        <w:spacing w:after="120"/>
        <w:jc w:val="both"/>
      </w:pPr>
      <w:r>
        <w:rPr>
          <w:rFonts w:ascii="Arial" w:cs="Arial" w:eastAsia="Arial" w:hAnsi="Arial"/>
          <w:sz w:val="24"/>
          <w:szCs w:val="24"/>
        </w:rPr>
        <w:t xml:space="preserve">1. Отбор по качеству и стоимости. Если иное не предусмотрено в пункте 2 ниже, услуги консультантов закупаются по контрактам, присуждаемым на основании Отбора по качеству и стоимости.</w:t>
      </w:r>
    </w:p>
    <w:p>
      <w:pPr>
        <w:spacing w:after="120"/>
        <w:jc w:val="both"/>
      </w:pPr>
      <w:r>
        <w:rPr>
          <w:rFonts w:ascii="Arial" w:cs="Arial" w:eastAsia="Arial" w:hAnsi="Arial"/>
          <w:sz w:val="24"/>
          <w:szCs w:val="24"/>
        </w:rPr>
        <w:t xml:space="preserve">2. Прочие методы закупок услуг консультантов. Следующие методы закупок, отличные от Отбора по качеству и стоимости, могут использоваться для закупок услуг консультантов по контрактам, указанным в Плане закупок:</w:t>
      </w:r>
    </w:p>
    <w:p>
      <w:pPr>
        <w:spacing w:after="120"/>
        <w:jc w:val="both"/>
      </w:pPr>
      <w:r>
        <w:rPr>
          <w:rFonts w:ascii="Arial" w:cs="Arial" w:eastAsia="Arial" w:hAnsi="Arial"/>
          <w:sz w:val="24"/>
          <w:szCs w:val="24"/>
        </w:rPr>
        <w:t xml:space="preserve">(а) Отбор по качеству;</w:t>
      </w:r>
    </w:p>
    <w:p>
      <w:pPr>
        <w:spacing w:after="120"/>
        <w:jc w:val="both"/>
      </w:pPr>
      <w:r>
        <w:rPr>
          <w:rFonts w:ascii="Arial" w:cs="Arial" w:eastAsia="Arial" w:hAnsi="Arial"/>
          <w:sz w:val="24"/>
          <w:szCs w:val="24"/>
        </w:rPr>
        <w:t xml:space="preserve">(б) Отбор в условиях фиксированного бюджета;</w:t>
      </w:r>
    </w:p>
    <w:p>
      <w:pPr>
        <w:spacing w:after="120"/>
        <w:jc w:val="both"/>
      </w:pPr>
      <w:r>
        <w:rPr>
          <w:rFonts w:ascii="Arial" w:cs="Arial" w:eastAsia="Arial" w:hAnsi="Arial"/>
          <w:sz w:val="24"/>
          <w:szCs w:val="24"/>
        </w:rPr>
        <w:t xml:space="preserve">(в) Отбор по наименьшей стоимости;</w:t>
      </w:r>
    </w:p>
    <w:p>
      <w:pPr>
        <w:spacing w:after="120"/>
        <w:jc w:val="both"/>
      </w:pPr>
      <w:r>
        <w:rPr>
          <w:rFonts w:ascii="Arial" w:cs="Arial" w:eastAsia="Arial" w:hAnsi="Arial"/>
          <w:sz w:val="24"/>
          <w:szCs w:val="24"/>
        </w:rPr>
        <w:t xml:space="preserve">(г) Отбор по квалификации консультантов;</w:t>
      </w:r>
    </w:p>
    <w:p>
      <w:pPr>
        <w:spacing w:after="120"/>
        <w:jc w:val="both"/>
      </w:pPr>
      <w:r>
        <w:rPr>
          <w:rFonts w:ascii="Arial" w:cs="Arial" w:eastAsia="Arial" w:hAnsi="Arial"/>
          <w:sz w:val="24"/>
          <w:szCs w:val="24"/>
        </w:rPr>
        <w:t xml:space="preserve">(д) Отбор из одного источника; и</w:t>
      </w:r>
    </w:p>
    <w:p>
      <w:pPr>
        <w:spacing w:after="120"/>
        <w:jc w:val="both"/>
      </w:pPr>
      <w:r>
        <w:rPr>
          <w:rFonts w:ascii="Arial" w:cs="Arial" w:eastAsia="Arial" w:hAnsi="Arial"/>
          <w:sz w:val="24"/>
          <w:szCs w:val="24"/>
        </w:rPr>
        <w:t xml:space="preserve">(е) Отбор индивидуальных консультантов.</w:t>
      </w:r>
    </w:p>
    <w:p>
      <w:pPr>
        <w:spacing w:after="120"/>
        <w:jc w:val="both"/>
      </w:pPr>
      <w:r>
        <w:rPr>
          <w:rFonts w:ascii="Arial" w:cs="Arial" w:eastAsia="Arial" w:hAnsi="Arial"/>
          <w:sz w:val="24"/>
          <w:szCs w:val="24"/>
        </w:rPr>
        <w:t xml:space="preserve">Г. Рассмотрение Ассоциацией решений о закупках</w:t>
      </w:r>
    </w:p>
    <w:p>
      <w:pPr>
        <w:spacing w:after="120"/>
        <w:jc w:val="both"/>
      </w:pPr>
      <w:r>
        <w:rPr>
          <w:rFonts w:ascii="Arial" w:cs="Arial" w:eastAsia="Arial" w:hAnsi="Arial"/>
          <w:sz w:val="24"/>
          <w:szCs w:val="24"/>
        </w:rPr>
        <w:t xml:space="preserve">В Плане закупок указываются контракты, подлежащие Предварительному рассмотрению Ассоциацией. Все остальные контракты подлежат Последующему рассмотрению Ассоциацией.</w:t>
      </w:r>
    </w:p>
    <w:p>
      <w:pPr>
        <w:spacing w:after="120"/>
        <w:jc w:val="both"/>
      </w:pPr>
      <w:r>
        <w:rPr>
          <w:rFonts w:ascii="Arial" w:cs="Arial" w:eastAsia="Arial" w:hAnsi="Arial"/>
          <w:sz w:val="24"/>
          <w:szCs w:val="24"/>
        </w:rPr>
        <w:t xml:space="preserve">Раздел IV. Выборка средств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Общее</w:t>
      </w:r>
    </w:p>
    <w:p>
      <w:pPr>
        <w:spacing w:after="120"/>
        <w:jc w:val="both"/>
      </w:pPr>
      <w:r>
        <w:rPr>
          <w:rFonts w:ascii="Arial" w:cs="Arial" w:eastAsia="Arial" w:hAnsi="Arial"/>
          <w:sz w:val="24"/>
          <w:szCs w:val="24"/>
        </w:rPr>
        <w:t xml:space="preserve">1. Получатель может производить выборку средств финансирования в соответствии с положениями Статьи II Общих условий, настоящим Разделом и дополнительными инструкциями, которые могут быть отдельно указаны Ассоциацией в форме уведомления Получателя (включая Руководство Всемирного банка по предоставлению средств на реализацию проектов, датированное маем 2006 года, периодически пересматриваемое Ассоциацией и применимое к настоящему Соглашению в соответствии с такими инструкциями), для финансирования Допустимых расходов, указанных в таблице в пункте 2 ниже.</w:t>
      </w:r>
    </w:p>
    <w:p>
      <w:pPr>
        <w:spacing w:after="120"/>
        <w:jc w:val="both"/>
      </w:pPr>
      <w:r>
        <w:rPr>
          <w:rFonts w:ascii="Arial" w:cs="Arial" w:eastAsia="Arial" w:hAnsi="Arial"/>
          <w:sz w:val="24"/>
          <w:szCs w:val="24"/>
        </w:rPr>
        <w:t xml:space="preserve">2. В следующей таблице указаны категории Допустимых расходов, которые могут быть оплачены из средств финансирования ("Категория"), распределение сумм Кредита и Гранта по каждой Категории, а также процентная доля расходов, подлежащая оплате из Допустимых расходов по каждой Категории. Насколько это может быть практично и уместно для Категории (1), средства Гранта должны выплачиваться до выплаты средств Кредита.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4"/>
        <w:gridCol w:w="2001"/>
        <w:gridCol w:w="1989"/>
        <w:gridCol w:w="2644"/>
      </w:tblGrid>
      <w:tr>
        <w:tc>
          <w:tcPr>
            <w:tcW w:type="dxa" w:w="3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Выделенная сумма Кредита (выраженная в СПЗ)</w:t>
            </w:r>
          </w:p>
        </w:tc>
        <w:tc>
          <w:tcPr>
            <w:tcW w:type="dxa" w:w="1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Выделенная сумма Гранта (выраженная в СПЗ)</w:t>
            </w:r>
          </w:p>
        </w:tc>
        <w:tc>
          <w:tcPr>
            <w:tcW w:type="dxa" w:w="2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подлежащих финансированию расходов (включая налоги)</w:t>
            </w:r>
          </w:p>
        </w:tc>
      </w:tr>
      <w:tr>
        <w:tc>
          <w:tcPr>
            <w:tcW w:type="dxa" w:w="3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Работы по Части I Проекта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23900000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1940000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3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неконсультационные услуги, консультационные услуги, Обучение и Дополнительные операционные расходы (включая аудит) по Проекту</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3360000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23900000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5300000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Б. Условия выборки; срок выборки</w:t>
      </w:r>
    </w:p>
    <w:p>
      <w:pPr>
        <w:spacing w:after="120"/>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 Финансирования:</w:t>
      </w:r>
    </w:p>
    <w:p>
      <w:pPr>
        <w:spacing w:after="120"/>
        <w:jc w:val="both"/>
      </w:pPr>
      <w:r>
        <w:rPr>
          <w:rFonts w:ascii="Arial" w:cs="Arial" w:eastAsia="Arial" w:hAnsi="Arial"/>
          <w:sz w:val="24"/>
          <w:szCs w:val="24"/>
        </w:rPr>
        <w:t xml:space="preserve">(а) для осуществления выплат, произведенных до даты подписания настоящего Соглашения;</w:t>
      </w:r>
    </w:p>
    <w:p>
      <w:pPr>
        <w:spacing w:after="120"/>
        <w:jc w:val="both"/>
      </w:pPr>
      <w:r>
        <w:rPr>
          <w:rFonts w:ascii="Arial" w:cs="Arial" w:eastAsia="Arial" w:hAnsi="Arial"/>
          <w:sz w:val="24"/>
          <w:szCs w:val="24"/>
        </w:rPr>
        <w:t xml:space="preserve">(б) по Категории 1, за исключением тех случаев, когда подготовлен План управления окружающей средой и Краткий план по переселению в соответствии с пунктами 1 и 2 Части В Раздела I Приложения 2 к настоящему Соглашению; и</w:t>
      </w:r>
    </w:p>
    <w:p>
      <w:pPr>
        <w:spacing w:after="120"/>
        <w:jc w:val="both"/>
      </w:pPr>
      <w:r>
        <w:rPr>
          <w:rFonts w:ascii="Arial" w:cs="Arial" w:eastAsia="Arial" w:hAnsi="Arial"/>
          <w:sz w:val="24"/>
          <w:szCs w:val="24"/>
        </w:rPr>
        <w:t xml:space="preserve">(в) по Категории 1, за исключением тех случаев, когда подписан контракт с поставщиком на поставку техники по обслуживанию дорог, которая указана и будет использоваться в соответствии с Ежегодным договором на оказание услуг по содержанию дорог.</w:t>
      </w:r>
    </w:p>
    <w:p>
      <w:pPr>
        <w:spacing w:after="120"/>
        <w:jc w:val="both"/>
      </w:pPr>
      <w:r>
        <w:rPr>
          <w:rFonts w:ascii="Arial" w:cs="Arial" w:eastAsia="Arial" w:hAnsi="Arial"/>
          <w:sz w:val="24"/>
          <w:szCs w:val="24"/>
        </w:rPr>
        <w:t xml:space="preserve">2. Датой закрытия Проекта является 30 апреля 2019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График погашения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8"/>
        <w:gridCol w:w="5280"/>
      </w:tblGrid>
      <w:tr>
        <w:tc>
          <w:tcPr>
            <w:tcW w:type="dxa" w:w="48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погашения</w:t>
            </w:r>
          </w:p>
        </w:tc>
        <w:tc>
          <w:tcPr>
            <w:tcW w:type="dxa" w:w="5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сумма Кредита, подлежащая погашению (выраженная в процентах)(*)</w:t>
            </w:r>
          </w:p>
        </w:tc>
      </w:tr>
      <w:tr>
        <w:tc>
          <w:tcPr>
            <w:tcW w:type="dxa" w:w="4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февраля и 15 августа каждого года:</w:t>
            </w:r>
          </w:p>
        </w:tc>
        <w:tc>
          <w:tcPr>
            <w:tcW w:type="dxa" w:w="5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Начиная с 15 августа 2024 года до 15 февраля 2034 года, включительно</w:t>
            </w:r>
          </w:p>
        </w:tc>
        <w:tc>
          <w:tcPr>
            <w:tcW w:type="dxa" w:w="5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Начиная с 15 августа 2034 года до 15 февраля 2054 года включительно</w:t>
            </w:r>
          </w:p>
        </w:tc>
        <w:tc>
          <w:tcPr>
            <w:tcW w:type="dxa" w:w="5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Проценты обозначают долю от основной суммы Кредита, подлежащую погашению, если иное не указано Ассоциацией в соответствии с Разделом 3.03 (б) Общих условий.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к приложению 2</w:t>
      </w:r>
    </w:p>
    <w:p>
      <w:pPr>
        <w:spacing w:after="120"/>
        <w:jc w:val="both"/>
      </w:pPr>
      <w:r>
        <w:rPr>
          <w:rFonts w:ascii="Arial" w:cs="Arial" w:eastAsia="Arial" w:hAnsi="Arial"/>
          <w:sz w:val="24"/>
          <w:szCs w:val="24"/>
        </w:rPr>
        <w:t xml:space="preserve">Изменения в порядке проведения Национальных конкурсных торгов (НКТ)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закупок по Национальным конкурсным торгам заключается в проведении тендера по методу закупок с неограниченным участием, как определено в Законе Кыргызской Республики "О государственных закупках" от 24 мая 2004 года № 69 (в текущей редакции).</w:t>
      </w:r>
    </w:p>
    <w:p>
      <w:pPr>
        <w:spacing w:after="120"/>
        <w:jc w:val="both"/>
      </w:pPr>
      <w:r>
        <w:rPr>
          <w:rFonts w:ascii="Arial" w:cs="Arial" w:eastAsia="Arial" w:hAnsi="Arial"/>
          <w:sz w:val="24"/>
          <w:szCs w:val="24"/>
        </w:rPr>
        <w:t xml:space="preserve">При условии, что такая процедура соответствует положениям Раздела I и пунктам 3.3 и 3.4 "Руководства по закупкам товаров, работ и неконсультационных услуг по займам МБРР и кредитами грантам МАР", (январь 2011 г.) ("Руководство по закупкам") и следующим дополнительным положениям:</w:t>
      </w:r>
    </w:p>
    <w:p>
      <w:pPr>
        <w:spacing w:after="120"/>
        <w:jc w:val="both"/>
      </w:pPr>
      <w:r>
        <w:rPr>
          <w:rFonts w:ascii="Arial" w:cs="Arial" w:eastAsia="Arial" w:hAnsi="Arial"/>
          <w:sz w:val="24"/>
          <w:szCs w:val="24"/>
        </w:rPr>
        <w:t xml:space="preserve">1. Право на участие в торгах: Право участников торгов на участие в процессе закупок и на присуждение контракта, финансируемого Ассоциацией, определяется в соответствии с Разделом I Руководства по закупкам. Соответственно, ни один из фактических или потенциальных участников торгов не может быть объявлен неправомочным для финансируемых Банком или Ассоциацией контрактов по причинам, отличным от тех, указанных в Разделе I Руководства по закупкам.</w:t>
      </w:r>
    </w:p>
    <w:p>
      <w:pPr>
        <w:spacing w:after="120"/>
        <w:jc w:val="both"/>
      </w:pPr>
      <w:r>
        <w:rPr>
          <w:rFonts w:ascii="Arial" w:cs="Arial" w:eastAsia="Arial" w:hAnsi="Arial"/>
          <w:sz w:val="24"/>
          <w:szCs w:val="24"/>
        </w:rPr>
        <w:t xml:space="preserve">2. Национальное предпочтение: Не допускается национальное предпочтение при оценке тендерных заявок на основании происхождения участника торгов, товаров, услуг или рабочих ресурсов, и/или на основании льготных программ.</w:t>
      </w:r>
    </w:p>
    <w:p>
      <w:pPr>
        <w:spacing w:after="120"/>
        <w:jc w:val="both"/>
      </w:pPr>
      <w:r>
        <w:rPr>
          <w:rFonts w:ascii="Arial" w:cs="Arial" w:eastAsia="Arial" w:hAnsi="Arial"/>
          <w:sz w:val="24"/>
          <w:szCs w:val="24"/>
        </w:rPr>
        <w:t xml:space="preserve">3. Регистрация и лицензирование: В целях оценки квалификаций участников торгов регистрация не требуется. Регистрация или получение лицензии иностранным участником торгов не является условием подачи тендерной заявки. Иностранному участнику торгов, рекомендованному к присуждению контракта, предоставляется разумная возможность пройти регистрацию или получить лицензию при разумном сотрудничестве Заемщика, до подписания контракта.</w:t>
      </w:r>
    </w:p>
    <w:p>
      <w:pPr>
        <w:spacing w:after="120"/>
        <w:jc w:val="both"/>
      </w:pPr>
      <w:r>
        <w:rPr>
          <w:rFonts w:ascii="Arial" w:cs="Arial" w:eastAsia="Arial" w:hAnsi="Arial"/>
          <w:sz w:val="24"/>
          <w:szCs w:val="24"/>
        </w:rPr>
        <w:t xml:space="preserve">4. Тендерная документация: Закупающие организации используют надлежащую типовую тендерную документацию, удовлетворяющую требованиям Ассоциации. Документы подготавливаются с целью обеспечения экономии, эффективности, прозрачности и согласованности с положениями Раздела I Руководства по закупкам.</w:t>
      </w:r>
    </w:p>
    <w:p>
      <w:pPr>
        <w:spacing w:after="120"/>
        <w:jc w:val="both"/>
      </w:pPr>
      <w:r>
        <w:rPr>
          <w:rFonts w:ascii="Arial" w:cs="Arial" w:eastAsia="Arial" w:hAnsi="Arial"/>
          <w:sz w:val="24"/>
          <w:szCs w:val="24"/>
        </w:rPr>
        <w:t xml:space="preserve">5. Срок действия тендерной заявки: Срок действия тендерной заявки должен быть достаточным и включать в себя любой срок, который может потребоваться для одобрения и регистрации контракта, как предусмотрено в ЗГЗ. Продление срока действия тендерной заявки, если таковое обосновано исключительными обстоятельствами, может быть запрошено в письменной форме всеми участниками торгов до истечения срока, при условии, что такое продление запрашивается на минимальный срок, требуемый для завершения оценки, заключения контракта и/или завершения процесса регистрации контракта. Дальнейшее продление срока не разрешается без предварительного письменного согласия Ассоциации.</w:t>
      </w:r>
    </w:p>
    <w:p>
      <w:pPr>
        <w:spacing w:after="120"/>
        <w:jc w:val="both"/>
      </w:pPr>
      <w:r>
        <w:rPr>
          <w:rFonts w:ascii="Arial" w:cs="Arial" w:eastAsia="Arial" w:hAnsi="Arial"/>
          <w:sz w:val="24"/>
          <w:szCs w:val="24"/>
        </w:rPr>
        <w:t xml:space="preserve">6. Квалификация: Квалификационные критерии четко определены в тендерной документации. Все определенные в тендерной документации критерии и только такие используются для определения квалификации участника торгов. Квалификация оценивается на основе приемки или отбраковки; балльная система не используется. Такая оценка полностью основывается на способности и ресурсах фактического или потенциального участника торгов эффективно исполнять контракт с учетом объективных и измеримых факторов, включая: (а) соответствующий общий и индивидуальный опыт и успешное завершение аналогичных контрактов за определенный период; (б) финансовое положение и, если приемлемо (в) мощность/производительность строительных и/или производственных объектов. Предварительные квалификационные процедуры и документация, приемлемые для Ассоциации, используются для крупных контрактов на выполнение комплексных и/или специализированных работ. Проверка информации, на основании которой участник торгов прошел предварительную квалификацию, включая его текущие обязательства и наличие человеческих ресурсов и оборудования, проводится в момент заключения контракта. При закупке товаров и работ без предварительной квалификации, квалификация участника торгов, рекомендуемого для заключения контракта, оценивается путем последующей квалификации с применением квалификационных критериев, указанных в тендерной документации.</w:t>
      </w:r>
    </w:p>
    <w:p>
      <w:pPr>
        <w:spacing w:after="120"/>
        <w:jc w:val="both"/>
      </w:pPr>
      <w:r>
        <w:rPr>
          <w:rFonts w:ascii="Arial" w:cs="Arial" w:eastAsia="Arial" w:hAnsi="Arial"/>
          <w:sz w:val="24"/>
          <w:szCs w:val="24"/>
        </w:rPr>
        <w:t xml:space="preserve">7. Сметы и государственные удельные расценки: Сметы являются конфиденциальной информацией и не подлежат разглашению потенциальным участникам торгов. Не допускается отклонение тендерных заявок на основании сравнения со сметами и/или максимальным размером бюджета без предварительного письменного согласия Ассоциации. Государственные удельные расценки не применяются в отношении формирования бюджета и оценки контракта на работы строительного подряда.</w:t>
      </w:r>
    </w:p>
    <w:p>
      <w:pPr>
        <w:spacing w:after="120"/>
        <w:jc w:val="both"/>
      </w:pPr>
      <w:r>
        <w:rPr>
          <w:rFonts w:ascii="Arial" w:cs="Arial" w:eastAsia="Arial" w:hAnsi="Arial"/>
          <w:sz w:val="24"/>
          <w:szCs w:val="24"/>
        </w:rPr>
        <w:t xml:space="preserve">8. Подача и вскрытие тендерных заявок: Потенциальным участникам торгов предоставляется как минимум тридцать (30) дней с даты опубликования приглашения к участию в торгах или с даты, когда тендерная документация стала доступной, в зависимости от того, что наступает последним, для подготовки и подачи тендерных заявок. Тендерные заявки вскрываются публично, сразу же по наступлению крайнего срока их подачи. Отклонение заявок в момент вскрытия не допускается. Копия протокола по открытию тендерных заявок незамедлительно предоставляется всем участникам торгов, подавшим тендерные заявки, и Ассоциации в отношении контрактов, подлежащих предварительному изучению Ассоциацией.</w:t>
      </w:r>
    </w:p>
    <w:p>
      <w:pPr>
        <w:spacing w:after="120"/>
        <w:jc w:val="both"/>
      </w:pPr>
      <w:r>
        <w:rPr>
          <w:rFonts w:ascii="Arial" w:cs="Arial" w:eastAsia="Arial" w:hAnsi="Arial"/>
          <w:sz w:val="24"/>
          <w:szCs w:val="24"/>
        </w:rPr>
        <w:t xml:space="preserve">9. Отклонение заявок и проведение повторного тендера: Не допускается отклонение заявок на том лишь основании, что они превышают сметную стоимость. Отклонение всех тендерных заявок (или единственной тендерной заявки в случае получения только одной тендерной заявки), отмена процесса закупок и приглашение новых участников торгов к подаче тендерных заявок не допускается без предварительного письменного согласия Ассоциации.</w:t>
      </w:r>
    </w:p>
    <w:p>
      <w:pPr>
        <w:spacing w:after="120"/>
        <w:jc w:val="both"/>
      </w:pPr>
      <w:r>
        <w:rPr>
          <w:rFonts w:ascii="Arial" w:cs="Arial" w:eastAsia="Arial" w:hAnsi="Arial"/>
          <w:sz w:val="24"/>
          <w:szCs w:val="24"/>
        </w:rPr>
        <w:t xml:space="preserve">10. Оценка тендерной заявки: Критерии оценки четко определяются в тендерной документации. Оценка заявок проводится в строгом соответствии с критериями оценки, определенными в тендерной документации. Все критерии оценки тендерной заявки, кроме цены, измеряются в денежном выражении. Балльная система не используется. При оценке тендерной заявки минимальный балл или процент за значимость проекта не присваивается. Участники торгов не исключаются из участия на основании небольших несущественных отклонений. Контракты заключаются с квалифицированным участником торгов, чья тендерная заявка: (I) наиболее полно удовлетворяет требованиям, установленным в тендерной документации, и (II) предлагает наименьшую оцененную стоимость. Переговоры в связи с оценкой тендерной заявки или процессом регистрации контракта не допускаются.</w:t>
      </w:r>
    </w:p>
    <w:p>
      <w:pPr>
        <w:spacing w:after="120"/>
        <w:jc w:val="both"/>
      </w:pPr>
      <w:r>
        <w:rPr>
          <w:rFonts w:ascii="Arial" w:cs="Arial" w:eastAsia="Arial" w:hAnsi="Arial"/>
          <w:sz w:val="24"/>
          <w:szCs w:val="24"/>
        </w:rPr>
        <w:t xml:space="preserve">11. Гарантии: Гарантии предоставляются по формату, определенному в тендерной документации, и действуют в течение двадцати восьми (28) дней после окончания срока действия тендерной заявки или же свыше любого срока продления, если таковой был запрошен.</w:t>
      </w:r>
    </w:p>
    <w:p>
      <w:pPr>
        <w:spacing w:after="120"/>
        <w:jc w:val="both"/>
      </w:pPr>
      <w:r>
        <w:rPr>
          <w:rFonts w:ascii="Arial" w:cs="Arial" w:eastAsia="Arial" w:hAnsi="Arial"/>
          <w:sz w:val="24"/>
          <w:szCs w:val="24"/>
        </w:rPr>
        <w:t xml:space="preserve">12. Изменения в контракте: В отношении контрактов, подлежащих предварительному изучению Ассоциацией, Заемщик получает от Ассоциации подтверждение об отсутствии возражений до принятия решения о: (I) существенном продлении срока, предоставленного для исполнения контракта; (II) любых существенных изменениях объема услуг, оказываемых по контракту, или любых иных существенных изменениях условий контракта; (III) любых разрешениях на изменение или поправках (за исключением случаев чрезвычайной срочности), которые вместе или в отдельности со всеми ранее выданными разрешениями на изменения или поправками, приводят к увеличению первоначальной суммы контракта на более чем 15 процентов, или (IV) предполагаемом прекращении контракта. Копия всех поправок в контракт представляется Ассоциации.</w:t>
      </w:r>
    </w:p>
    <w:p>
      <w:pPr>
        <w:spacing w:after="120"/>
        <w:jc w:val="both"/>
      </w:pPr>
      <w:r>
        <w:rPr>
          <w:rFonts w:ascii="Arial" w:cs="Arial" w:eastAsia="Arial" w:hAnsi="Arial"/>
          <w:sz w:val="24"/>
          <w:szCs w:val="24"/>
        </w:rPr>
        <w:t xml:space="preserve">13. Мошенничество и коррупция: Тендерная документация и контракт, рассматривающиеся как приемлемые для Ассоциации, должны содержать положения, отражающие политику Ассоциации относительно наложения санкций на юридические или физические лица, уличенные в мошенничестве и коррупции, как определено в Руководстве по закупкам.</w:t>
      </w:r>
    </w:p>
    <w:p>
      <w:pPr>
        <w:spacing w:after="120"/>
        <w:jc w:val="both"/>
      </w:pPr>
      <w:r>
        <w:rPr>
          <w:rFonts w:ascii="Arial" w:cs="Arial" w:eastAsia="Arial" w:hAnsi="Arial"/>
          <w:sz w:val="24"/>
          <w:szCs w:val="24"/>
        </w:rPr>
        <w:t xml:space="preserve">14. Право на проведение проверок и аудита: Согласно Руководству по закупкам в каждый тендерный документ и контракт, оплачиваемые за счет средств Финансирования, должно быть включено положение, обязующее участников торгов, поставщиков и подрядчиков, их субподрядчиков, агентов, работников, консультантов, поставщиков услуг или контрагентов согласиться на проверку Ассоциацией их счетов, учетной и другой документации, связанных с подачей тендерных документов и выполнение таких контрактов, а также на проведение аудита этих документов аудиторами, назначенными Ассоциацией. Действия, направленные на то, чтобы фактически помешать Ассоциации воспользоваться своими правами на проведение проверки и аудита, предусмотренные Руководством по закупке, являются обструкционистской практикой, как определено в Руководстве по закупкам.</w:t>
      </w:r>
    </w:p>
    <w:p>
      <w:pPr>
        <w:spacing w:after="120"/>
        <w:jc w:val="both"/>
      </w:pPr>
      <w:r>
        <w:rPr>
          <w:rFonts w:ascii="Arial" w:cs="Arial" w:eastAsia="Arial" w:hAnsi="Arial"/>
          <w:sz w:val="24"/>
          <w:szCs w:val="24"/>
        </w:rPr>
        <w:t xml:space="preserve">Дополнение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"Ежегодный договор на оказание услуг по содержанию дорог" означает договор между МТК и УАД ОБИ, заключаемый на один год, удовлетворяющий требованиям Ассоциации, в соответствии с которым УАД ОБИ обязуется проводить текущее содержание дорожных участков вдоль дорожного коридора Ош - Баткен - Исфана - Таджикистан, находящихся в пригодном для содержания состоянии, посредством текущего и аварийного ремонта.</w:t>
      </w:r>
    </w:p>
    <w:p>
      <w:pPr>
        <w:spacing w:after="120"/>
        <w:jc w:val="both"/>
      </w:pPr>
      <w:r>
        <w:rPr>
          <w:rFonts w:ascii="Arial" w:cs="Arial" w:eastAsia="Arial" w:hAnsi="Arial"/>
          <w:sz w:val="24"/>
          <w:szCs w:val="24"/>
        </w:rPr>
        <w:t xml:space="preserve">2. "Руководство по предотвращению коррупции" означает "Руководство по предотвращению и пресечению коррупции при реализации проектов, финансируемых за счет займов МБРР и кредитов и грантов МАР" от 15 октября 2006 года, и пересмотренное в январе 2011 года.</w:t>
      </w:r>
    </w:p>
    <w:p>
      <w:pPr>
        <w:spacing w:after="120"/>
        <w:jc w:val="both"/>
      </w:pPr>
      <w:r>
        <w:rPr>
          <w:rFonts w:ascii="Arial" w:cs="Arial" w:eastAsia="Arial" w:hAnsi="Arial"/>
          <w:sz w:val="24"/>
          <w:szCs w:val="24"/>
        </w:rPr>
        <w:t xml:space="preserve">3. "Категория" означает категорию, указанную в таблице в Разделе IV Приложения 2 к настоящему Соглашению.</w:t>
      </w:r>
    </w:p>
    <w:p>
      <w:pPr>
        <w:spacing w:after="120"/>
        <w:jc w:val="both"/>
      </w:pPr>
      <w:r>
        <w:rPr>
          <w:rFonts w:ascii="Arial" w:cs="Arial" w:eastAsia="Arial" w:hAnsi="Arial"/>
          <w:sz w:val="24"/>
          <w:szCs w:val="24"/>
        </w:rPr>
        <w:t xml:space="preserve">4. "Руководство по отбору консультантов" означает "Руководство по отбору и найму консультантов заемщиками Всемирного Банка по займам МБРР и кредитам и грантам МАР", опубликованное Всемирным Банком в январе 2011 года.</w:t>
      </w:r>
    </w:p>
    <w:p>
      <w:pPr>
        <w:spacing w:after="120"/>
        <w:jc w:val="both"/>
      </w:pPr>
      <w:r>
        <w:rPr>
          <w:rFonts w:ascii="Arial" w:cs="Arial" w:eastAsia="Arial" w:hAnsi="Arial"/>
          <w:sz w:val="24"/>
          <w:szCs w:val="24"/>
        </w:rPr>
        <w:t xml:space="preserve">5. "Оценка воздействия на окружающую среду" или "ОВОС" означает удовлетворяющую Ассоциацию оценку экологического воздействия от 10 сентября 2013 года, подготовленную, обновленную и обнародованную в стране Получателем 8 октября 2013 года, а также размещенную на информационном сайте Всемирного Банка "Infoshop" 22 октября 2013 года, и включающую в себя, в числе прочего: (I) подробное описание участков предстоящей реализации проектных мероприятий; (II) потенциальные и фактические негативные экологические последствия мероприятий, упоминаемых в пункте (I) выше; и (III) План мероприятий по охране окружающей среды с изложением наилучшей практики и мер, которые необходимо принять в ходе реализации и эксплуатации Проекта в целях смягчения, устранения или, в противном случае, компенсации негативных экологических последствий реализации Проекта.</w:t>
      </w:r>
    </w:p>
    <w:p>
      <w:pPr>
        <w:spacing w:after="120"/>
        <w:jc w:val="both"/>
      </w:pPr>
      <w:r>
        <w:rPr>
          <w:rFonts w:ascii="Arial" w:cs="Arial" w:eastAsia="Arial" w:hAnsi="Arial"/>
          <w:sz w:val="24"/>
          <w:szCs w:val="24"/>
        </w:rPr>
        <w:t xml:space="preserve">6. "План управления окружающей средой" или "ПУОС" означает индивидуальные документы по отдельным дорожным участкам, подготовленные Получателем в соответствии с ОВОС и пунктом 4 Раздела 1.А Приложения 2 к настоящему Соглашению, и удовлетворяющие требованиям Ассоциации, в отношении работ, которые должны быть выполнены Получателем в рамках Проекта, с определением деталей предлагаемых мероприятий по управлению потенциальными экологическими рисками и смягчению, снижению и/или компенсации отрицательных экологических последствий, связанных с реализацией мероприятий в рамках Проекта, наряду с соответствующими институциональными механизмами и механизмами мониторинга и отчетности, способными обеспечить надлежащее выполнение и регулярные отзывы по вопросам выполнения условий, в которые время от времени могут вноситься изменения и дополнения с предварительного письменного согласия Ассоциации.</w:t>
      </w:r>
    </w:p>
    <w:p>
      <w:pPr>
        <w:spacing w:after="120"/>
        <w:jc w:val="both"/>
      </w:pPr>
      <w:r>
        <w:rPr>
          <w:rFonts w:ascii="Arial" w:cs="Arial" w:eastAsia="Arial" w:hAnsi="Arial"/>
          <w:sz w:val="24"/>
          <w:szCs w:val="24"/>
        </w:rPr>
        <w:t xml:space="preserve">7. "Общие условия" означает "Общие условия кредитов и грантов, выделяемых Международной Ассоциацией Развития" от 31 июля 2010 года.</w:t>
      </w:r>
    </w:p>
    <w:p>
      <w:pPr>
        <w:spacing w:after="120"/>
        <w:jc w:val="both"/>
      </w:pPr>
      <w:r>
        <w:rPr>
          <w:rFonts w:ascii="Arial" w:cs="Arial" w:eastAsia="Arial" w:hAnsi="Arial"/>
          <w:sz w:val="24"/>
          <w:szCs w:val="24"/>
        </w:rPr>
        <w:t xml:space="preserve">8. "Дополнительные операционные расходы" означает приростные расходы, понесенные МТК в связи с реализацией, управлением и мониторингом Проекта, включая: расходы на распространение связанной с Проектом информации, расходы на поездки, проживание и суточные для служебных командировок, связанные с реализацией Проекта, по ставкам, указанным среди требований в отношении управления финансами в Операционном руководстве Проекта; расходы на аренду транспортных средств; приобретение расходных материалов и оплату коммунальных услуг; заработную плату и Социальные отчисления контрактных сотрудников; оплату почтовых услуг, расходы на рекламу, расходы на услуги переводчиков, выплату комиссионных коммерческим банкам, оплату услуг связи, расходы на приобретение и техническое обслуживание оргтехники, аппаратное и программное обеспечение, каковые расходы должны ежегодно согласовываться с Ассоциацией, но за исключением расходов на выплату заработной платы должностным лицам и/или служащим государственной службы Получателя, а также любых отчислений работодателей в Социальный фонд.</w:t>
      </w:r>
    </w:p>
    <w:p>
      <w:pPr>
        <w:spacing w:after="120"/>
        <w:jc w:val="both"/>
      </w:pPr>
      <w:r>
        <w:rPr>
          <w:rFonts w:ascii="Arial" w:cs="Arial" w:eastAsia="Arial" w:hAnsi="Arial"/>
          <w:sz w:val="24"/>
          <w:szCs w:val="24"/>
        </w:rPr>
        <w:t xml:space="preserve">9. "ГРИП" означает Группу реализации инвестиционных проектов, созданную при МТК для целей текущего управления Проектом, и упоминаемую в пункте 2 Раздела I.A Приложения 2 к настоящему Соглашению, или любых ее правопреемников.</w:t>
      </w:r>
    </w:p>
    <w:p>
      <w:pPr>
        <w:spacing w:after="120"/>
        <w:jc w:val="both"/>
      </w:pPr>
      <w:r>
        <w:rPr>
          <w:rFonts w:ascii="Arial" w:cs="Arial" w:eastAsia="Arial" w:hAnsi="Arial"/>
          <w:sz w:val="24"/>
          <w:szCs w:val="24"/>
        </w:rPr>
        <w:t xml:space="preserve">10. "МТК" означает Министерство транспорта и коммуникаций Получателя, или любых его правопреемников.</w:t>
      </w:r>
    </w:p>
    <w:p>
      <w:pPr>
        <w:spacing w:after="120"/>
        <w:jc w:val="both"/>
      </w:pPr>
      <w:r>
        <w:rPr>
          <w:rFonts w:ascii="Arial" w:cs="Arial" w:eastAsia="Arial" w:hAnsi="Arial"/>
          <w:sz w:val="24"/>
          <w:szCs w:val="24"/>
        </w:rPr>
        <w:t xml:space="preserve">11. "УАД ОБИ" означает Управление автомобильными дорогами "Ош - Баткен - Исфана" при МТК, или любых его правопреемников.</w:t>
      </w:r>
    </w:p>
    <w:p>
      <w:pPr>
        <w:spacing w:after="120"/>
        <w:jc w:val="both"/>
      </w:pPr>
      <w:r>
        <w:rPr>
          <w:rFonts w:ascii="Arial" w:cs="Arial" w:eastAsia="Arial" w:hAnsi="Arial"/>
          <w:sz w:val="24"/>
          <w:szCs w:val="24"/>
        </w:rPr>
        <w:t xml:space="preserve">12. "Руководство по закупкам" означает "Руководство по закупкам товаров, работ и неконсультационных услуг заемщиками Всемирного Банка по займам МБРР и кредитам и грантам МАР", опубликованное Всемирным Банком в январе 2011 года.</w:t>
      </w:r>
    </w:p>
    <w:p>
      <w:pPr>
        <w:spacing w:after="120"/>
        <w:jc w:val="both"/>
      </w:pPr>
      <w:r>
        <w:rPr>
          <w:rFonts w:ascii="Arial" w:cs="Arial" w:eastAsia="Arial" w:hAnsi="Arial"/>
          <w:sz w:val="24"/>
          <w:szCs w:val="24"/>
        </w:rPr>
        <w:t xml:space="preserve">13. "План Закупок" означает план закупок Получателя по Проекту от 11 марта 2014 года, упоминаемый в пункте 1.18 Руководства по закупкам и пункте 1.25 Руководства по отбору консультантов, с учетом обновлений, которые могут вноситься в такой план время от времени в соответствии с положениями указанных пунктов.</w:t>
      </w:r>
    </w:p>
    <w:p>
      <w:pPr>
        <w:spacing w:after="120"/>
        <w:jc w:val="both"/>
      </w:pPr>
      <w:r>
        <w:rPr>
          <w:rFonts w:ascii="Arial" w:cs="Arial" w:eastAsia="Arial" w:hAnsi="Arial"/>
          <w:sz w:val="24"/>
          <w:szCs w:val="24"/>
        </w:rPr>
        <w:t xml:space="preserve">14. "Краткий план по переселению" или "ПДП" означает индивидуальный документ по отдельным дорожным участкам, который будет принят Получателем в соответствии с пунктом 3 Раздела I.A Приложения 2 к настоящему Соглашению, удовлетворяющий требованиям Ассоциации, содержащий, помимо прочего, программу действий, мер и политики компенсации и переселения лиц, включая механизмы выплаты компенсации и переселения, бюджет и затраты, а также источники финансирования, наряду с адекватными институциональными механизмами, механизмами мониторинга и отчетности, способными обеспечить надлежащую реализацию и регулярный отзыв по вопросам выполнения условий в отношении участка, включая ПДП, обнародованный Получателем 17 февраля 2014 года.</w:t>
      </w:r>
    </w:p>
    <w:p>
      <w:pPr>
        <w:spacing w:after="120"/>
        <w:jc w:val="both"/>
      </w:pPr>
      <w:r>
        <w:rPr>
          <w:rFonts w:ascii="Arial" w:cs="Arial" w:eastAsia="Arial" w:hAnsi="Arial"/>
          <w:sz w:val="24"/>
          <w:szCs w:val="24"/>
        </w:rPr>
        <w:t xml:space="preserve">15. "Рамочный план по переселению" или "РПП" означает документ от 4 сентября 2013 года, подготовленный и одобренный Получателем, а также обнародованный в стране и в информационном магазине Всемирного Банка "Infoshop" 13 сентября 2013 года, предусматривающий процедуры переселения, институциональные механизмы, критерии правомочности, права на получение компенсаций и компенсации, включая процедуры оценки, общественных слушаний и участия общественности, мониторинг и оценку, а также критерии раскрытия информации, применяемые при подготовке Плана действий по переселению.</w:t>
      </w:r>
    </w:p>
    <w:p>
      <w:pPr>
        <w:spacing w:after="120"/>
        <w:jc w:val="both"/>
      </w:pPr>
      <w:r>
        <w:rPr>
          <w:rFonts w:ascii="Arial" w:cs="Arial" w:eastAsia="Arial" w:hAnsi="Arial"/>
          <w:sz w:val="24"/>
          <w:szCs w:val="24"/>
        </w:rPr>
        <w:t xml:space="preserve">16. "Социальные отчисления" означают любые отчисления или выплаты на страховые взносы или пособия по болезни, безработице, страхование на случай нетрудоспособности, выплаты компенсаций работникам, пенсии при наступлении пенсионного возраста (пенсия или социальное обеспечение) и личное страхование, составляющие выплаты для постепенного использования будущих льгот для занятых сотрудников.</w:t>
      </w:r>
    </w:p>
    <w:p>
      <w:pPr>
        <w:spacing w:after="120"/>
        <w:jc w:val="both"/>
      </w:pPr>
      <w:r>
        <w:rPr>
          <w:rFonts w:ascii="Arial" w:cs="Arial" w:eastAsia="Arial" w:hAnsi="Arial"/>
          <w:sz w:val="24"/>
          <w:szCs w:val="24"/>
        </w:rPr>
        <w:t xml:space="preserve">17. "Налоги" означает все налоги и тарифы, налагаемые Правительством, включая обязательные страховые взносы и налоги, налагаемые на нерезидентов.</w:t>
      </w:r>
    </w:p>
    <w:p>
      <w:pPr>
        <w:spacing w:after="120"/>
        <w:jc w:val="both"/>
      </w:pPr>
      <w:r>
        <w:rPr>
          <w:rFonts w:ascii="Arial" w:cs="Arial" w:eastAsia="Arial" w:hAnsi="Arial"/>
          <w:sz w:val="24"/>
          <w:szCs w:val="24"/>
        </w:rPr>
        <w:t xml:space="preserve">18. "Обучение" означает связанные с Проектом обучающие туры, учебные курсы, семинары, конференции и иные учебные мероприятия, не включенные в контракты на закупку товаров или услуг, включая расходы на учебные материалы, аренду помещений и оборудования, поездки, суточные для обучающихся и инструкторов, а также оплату услуг тренеров на основании согласованного с Ассоциацией годового бюджета.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p-rg3sghn7ypggz8cfm">
      <w:r>
        <w:rPr>
          <w:rFonts w:ascii="Arial" w:cs="Arial" w:eastAsia="Arial" w:hAnsi="Arial"/>
          <w:color w:val="132D3F"/>
          <w:sz w:val="16"/>
          <w:szCs w:val="16"/>
          <w:u w:val="single"/>
        </w:rPr>
        <w:t xml:space="preserve">dalil.kg/document/212005</w:t>
      </w:r>
    </w:hyperlink>
  </w:p>
  <w:p>
    <w:pPr>
      <w:spacing w:after="0" w:before="40"/>
      <w:jc w:val="center"/>
    </w:pPr>
    <w:hyperlink w:history="1" r:id="rId7isxmp1tc61gddtcezt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_cpen0afevwubmgsj_e" Type="http://schemas.openxmlformats.org/officeDocument/2006/relationships/hyperlink" Target="https://dalil.kg/document/212005#&#108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p-rg3sghn7ypggz8cfm" Type="http://schemas.openxmlformats.org/officeDocument/2006/relationships/hyperlink" Target="https://dalil.kg/document/212005" TargetMode="External"/><Relationship Id="rId7isxmp1tc61gddtcezt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2026-09-24T08:39:49.370Z</dcterms:created>
  <dcterms:modified xsi:type="dcterms:W3CDTF">2026-09-24T08:39:49.370Z</dcterms:modified>
</cp:coreProperties>
</file>

<file path=docProps/custom.xml><?xml version="1.0" encoding="utf-8"?>
<Properties xmlns="http://schemas.openxmlformats.org/officeDocument/2006/custom-properties" xmlns:vt="http://schemas.openxmlformats.org/officeDocument/2006/docPropsVTypes"/>
</file>