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Аттокурове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</w:t>
      </w:r>
      <w:hyperlink w:history="1" r:id="rId6d_uwh6wu5vbgq2vp-f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АТТОКУРОВА Алмаза Анарбековича</w:t>
      </w:r>
      <w:r>
        <w:rPr>
          <w:rFonts w:ascii="Arial" w:cs="Arial" w:eastAsia="Arial" w:hAnsi="Arial"/>
          <w:sz w:val="24"/>
          <w:szCs w:val="24"/>
        </w:rPr>
        <w:t xml:space="preserve"> главой Государственной администрации – акимом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uzidcnub-gf5t2hrx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dalil.kg/document/213722</w:t>
      </w:r>
    </w:hyperlink>
  </w:p>
  <w:p>
    <w:pPr>
      <w:spacing w:after="0" w:before="40"/>
      <w:jc w:val="center"/>
    </w:pPr>
    <w:hyperlink w:history="1" r:id="rIdsoyff9i4sdpezpnfrwn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_uwh6wu5vbgq2vp-fez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uzidcnub-gf5t2hrxcz" Type="http://schemas.openxmlformats.org/officeDocument/2006/relationships/hyperlink" Target="https://dalil.kg/document/213722" TargetMode="External"/><Relationship Id="rIdsoyff9i4sdpezpnfrwn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2026-09-28T09:29:17.422Z</dcterms:created>
  <dcterms:modified xsi:type="dcterms:W3CDTF">2026-09-28T09:29:17.422Z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