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ind w:firstLine="397"/>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28 августа 2023 года № 508-р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развития Баткенской области и оказания государственной поддержки населению, в соответствии со </w:t>
      </w:r>
      <w:hyperlink w:history="1" r:id="rIdnwas3si3hogmiq0oochhr">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частью 1 </w:t>
      </w:r>
      <w:hyperlink w:history="1" r:id="rIdxaiwjq9fqkksy2-d9hpc6">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Бюджетного кодекса Кыргызской Республики, </w:t>
      </w:r>
      <w:hyperlink w:history="1" r:id="rIdipm7j7lgq8u5lbn_xm2qs">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статусе Баткенской области", статьями </w:t>
      </w:r>
      <w:hyperlink w:history="1" r:id="rId6jkbzi7kptwaf1ag5ahvz">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ztzb1j5madwxaeewj_us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проект "Льготное финансирование Баткенской области - 2" (далее - проект) согласно </w:t>
      </w:r>
      <w:hyperlink w:history="1" r:id="rIdkb5nx8eplx71rgo_toxw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срок реализации проекта 60 месяцев.</w:t>
      </w:r>
    </w:p>
    <w:p>
      <w:pPr>
        <w:spacing w:after="120"/>
        <w:jc w:val="both"/>
      </w:pPr>
      <w:r>
        <w:rPr>
          <w:rFonts w:ascii="Arial" w:cs="Arial" w:eastAsia="Arial" w:hAnsi="Arial"/>
          <w:sz w:val="24"/>
          <w:szCs w:val="24"/>
        </w:rPr>
        <w:t xml:space="preserve">3.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из республиканского бюджета 35000000 (тридцать пять миллионов) сомов на 2023 год на субсидирование процентных ставок открытого акционерного общества "РСК Банк" и открытого акционерного общества "Айыл Банк";</w:t>
      </w:r>
    </w:p>
    <w:p>
      <w:pPr>
        <w:spacing w:after="120"/>
        <w:jc w:val="both"/>
      </w:pPr>
      <w:r>
        <w:rPr>
          <w:rFonts w:ascii="Arial" w:cs="Arial" w:eastAsia="Arial" w:hAnsi="Arial"/>
          <w:sz w:val="24"/>
          <w:szCs w:val="24"/>
        </w:rPr>
        <w:t xml:space="preserve">2) заключить соответствующие соглашения о субсидировании процентных ставок с коммерческими банками, участвующими в реализации проекта;</w:t>
      </w:r>
    </w:p>
    <w:p>
      <w:pPr>
        <w:spacing w:after="120"/>
        <w:jc w:val="both"/>
      </w:pPr>
      <w:r>
        <w:rPr>
          <w:rFonts w:ascii="Arial" w:cs="Arial" w:eastAsia="Arial" w:hAnsi="Arial"/>
          <w:sz w:val="24"/>
          <w:szCs w:val="24"/>
        </w:rPr>
        <w:t xml:space="preserve">3) при разработке проекта Закона Кыргызской Республики "О внесении изменений в </w:t>
      </w:r>
      <w:hyperlink w:history="1" r:id="rId4lwxvruhgwrizlahg2q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2023 год и плановый период 2024-2025 годов" учесть изменения, вытекающие из настоящего распоряжения.</w:t>
      </w:r>
    </w:p>
    <w:p>
      <w:pPr>
        <w:spacing w:after="120"/>
        <w:jc w:val="both"/>
      </w:pPr>
      <w:r>
        <w:rPr>
          <w:rFonts w:ascii="Arial" w:cs="Arial" w:eastAsia="Arial" w:hAnsi="Arial"/>
          <w:sz w:val="24"/>
          <w:szCs w:val="24"/>
        </w:rPr>
        <w:t xml:space="preserve">4. Рекомендовать открытым акционерным обществам, указанным в подпункте 1 пункта 3 настоящего распоряжения, не взимать комиссии и иные сборы при кредитовании субъектов, принимающих участие в реализации проекта.</w:t>
      </w:r>
    </w:p>
    <w:p>
      <w:pPr>
        <w:spacing w:after="120"/>
        <w:jc w:val="both"/>
      </w:pPr>
      <w:r>
        <w:rPr>
          <w:rFonts w:ascii="Arial" w:cs="Arial" w:eastAsia="Arial" w:hAnsi="Arial"/>
          <w:sz w:val="24"/>
          <w:szCs w:val="24"/>
        </w:rPr>
        <w:t xml:space="preserve">5. Министерству экономики и коммерции Кыргызской Республики и Министерству сельского хозяйства Кыргызской Республики совместно с открытыми акционерными обществами, указанными в подпункте 1 пункта 3 настоящего распоряжения, провести анализ эффективности по итогам завершения проекта.</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Проект "Льготное финансирование Баткенской области - 2"</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Целью проекта "Льготное финансирование Баткенской области" (далее - проект) является обеспечение дальнейшего развития Баткенской области, оказание государственной поддержки субъектам предпринимательства и физическим лицам (далее - хозяйствующие субъекты) путем предоставления доступных и льготных кредитных средств.</w:t>
      </w:r>
    </w:p>
    <w:p>
      <w:pPr>
        <w:spacing w:after="60"/>
        <w:ind w:firstLine="567"/>
        <w:jc w:val="both"/>
      </w:pPr>
      <w:r>
        <w:rPr>
          <w:rFonts w:ascii="Arial" w:cs="Arial" w:eastAsia="Arial" w:hAnsi="Arial"/>
          <w:sz w:val="24"/>
          <w:szCs w:val="24"/>
        </w:rPr>
        <w:t xml:space="preserve">2. Срок реализации проекта - 60 месяцев.</w:t>
      </w:r>
    </w:p>
    <w:p>
      <w:pPr>
        <w:spacing w:after="60"/>
        <w:ind w:firstLine="567"/>
        <w:jc w:val="both"/>
      </w:pPr>
      <w:r>
        <w:rPr>
          <w:rFonts w:ascii="Arial" w:cs="Arial" w:eastAsia="Arial" w:hAnsi="Arial"/>
          <w:sz w:val="24"/>
          <w:szCs w:val="24"/>
        </w:rPr>
        <w:t xml:space="preserve">3. Стоимость проекта - 350000000 (триста пятьдесят миллионов) сомов.</w:t>
      </w:r>
    </w:p>
    <w:p>
      <w:pPr>
        <w:spacing w:after="60"/>
        <w:ind w:firstLine="567"/>
        <w:jc w:val="both"/>
      </w:pPr>
      <w:r>
        <w:rPr>
          <w:rFonts w:ascii="Arial" w:cs="Arial" w:eastAsia="Arial" w:hAnsi="Arial"/>
          <w:sz w:val="24"/>
          <w:szCs w:val="24"/>
        </w:rPr>
        <w:t xml:space="preserve">4. Источники финансирования: республиканский бюджет Кыргызской Республики и средства открытых акционерных обществ "РСК Банк" и "Айыл Банк".</w:t>
      </w:r>
    </w:p>
    <w:p>
      <w:pPr>
        <w:spacing w:after="60"/>
        <w:ind w:firstLine="567"/>
        <w:jc w:val="both"/>
      </w:pPr>
      <w:r>
        <w:rPr>
          <w:rFonts w:ascii="Arial" w:cs="Arial" w:eastAsia="Arial" w:hAnsi="Arial"/>
          <w:sz w:val="24"/>
          <w:szCs w:val="24"/>
        </w:rPr>
        <w:t xml:space="preserve">5. Финансирование будет направлено субъектам приграничных населенных пунктов Баткенской области согласно перечню, указанному в </w:t>
      </w:r>
      <w:hyperlink w:history="1" r:id="rIdzxyjwki0eddz66ahuksc9">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Начало реализации проекта - август 2023 года.</w:t>
      </w:r>
    </w:p>
    <w:p>
      <w:pPr>
        <w:spacing w:after="60"/>
        <w:ind w:firstLine="567"/>
        <w:jc w:val="both"/>
      </w:pPr>
      <w:r>
        <w:rPr>
          <w:rFonts w:ascii="Arial" w:cs="Arial" w:eastAsia="Arial" w:hAnsi="Arial"/>
          <w:sz w:val="24"/>
          <w:szCs w:val="24"/>
        </w:rPr>
        <w:t xml:space="preserve">7. Ответственные исполнители: Министерство финансов Кыргызской Республики, Министерство сельского хозяйства Кыргызской Республики, Министерство экономики и коммерции Кыргызской Республики, Национальный банк Кыргызской Республики и коммерческие банки, участвующие в реализации проекта.</w:t>
      </w:r>
    </w:p>
    <w:p>
      <w:pPr>
        <w:spacing w:after="60"/>
        <w:ind w:firstLine="567"/>
        <w:jc w:val="both"/>
      </w:pPr>
      <w:r>
        <w:rPr>
          <w:rFonts w:ascii="Arial" w:cs="Arial" w:eastAsia="Arial" w:hAnsi="Arial"/>
          <w:sz w:val="24"/>
          <w:szCs w:val="24"/>
        </w:rPr>
        <w:t xml:space="preserve">8. Описание проекта. В рамках проекта в течение 2023 года финансовые средства коммерческих банков будут предоставляться физическим лицам, субъектам малого и среднего бизнеса, осуществляющим свою деятельность в приграничных населенных пунктах Баткенской области, для развития сельского хозяйства, производства и переработки сельскохозяйственной продукции, промышленности, туризма, транспорта, экспортно ориентированных и импортозамещающих предприятий, торгово-логистических центров и овощных хранилищ, инновационной деятельности (создание новых предприятий или новых направлений деятельности), производства защитных медицинских средств и средств индивидуальной защиты, торговли, сферы услуг, образования, информационных технологий по льготным процентным ставкам/наценке, в том числе в соответствии с исламскими принципами банковского дела и финансирования, согласно требованиям Национального банка Кыргызской Республики.</w:t>
      </w:r>
    </w:p>
    <w:p>
      <w:pPr>
        <w:spacing w:after="60"/>
        <w:ind w:firstLine="567"/>
        <w:jc w:val="both"/>
      </w:pPr>
      <w:r>
        <w:rPr>
          <w:rFonts w:ascii="Arial" w:cs="Arial" w:eastAsia="Arial" w:hAnsi="Arial"/>
          <w:sz w:val="24"/>
          <w:szCs w:val="24"/>
        </w:rPr>
        <w:t xml:space="preserve">9. Кабинет Министров Кыргызской Республики субсидирует расходы хозяйствующих субъектов по процентным платежам/наценке по финансированию, а также расходы коммерческих банков из средств республиканского бюджета по размещению кредитов и финансированию, в том числе в соответствии с исламскими принципами, по льготным процентным ставкам.</w:t>
      </w:r>
    </w:p>
    <w:p>
      <w:pPr>
        <w:spacing w:after="60"/>
        <w:ind w:firstLine="567"/>
        <w:jc w:val="both"/>
      </w:pPr>
      <w:r>
        <w:rPr>
          <w:rFonts w:ascii="Arial" w:cs="Arial" w:eastAsia="Arial" w:hAnsi="Arial"/>
          <w:sz w:val="24"/>
          <w:szCs w:val="24"/>
        </w:rPr>
        <w:t xml:space="preserve">10. Порядок предоставления кредитов и финансирования, в том числе в соответствии с исламскими принципами, определяется согласно нормативным правовым актам Национального банка Кыргызской Республики.</w:t>
      </w:r>
    </w:p>
    <w:p>
      <w:pPr>
        <w:spacing w:after="60"/>
        <w:ind w:firstLine="567"/>
        <w:jc w:val="both"/>
      </w:pPr>
      <w:r>
        <w:rPr>
          <w:rFonts w:ascii="Arial" w:cs="Arial" w:eastAsia="Arial" w:hAnsi="Arial"/>
          <w:sz w:val="24"/>
          <w:szCs w:val="24"/>
        </w:rPr>
        <w:t xml:space="preserve">11. Коммерческие банки вправе осуществлять кредитование/финансирование хозяйствующих субъектов в рамках настоящего проекта под гарантию открытого акционерного общества "Гарантийный фонд".</w:t>
      </w:r>
    </w:p>
    <w:p>
      <w:pPr>
        <w:spacing w:after="60"/>
        <w:ind w:firstLine="567"/>
        <w:jc w:val="both"/>
      </w:pPr>
      <w:r>
        <w:rPr>
          <w:rFonts w:ascii="Arial" w:cs="Arial" w:eastAsia="Arial" w:hAnsi="Arial"/>
          <w:sz w:val="24"/>
          <w:szCs w:val="24"/>
        </w:rPr>
        <w:t xml:space="preserve">12. Все риски по возврату выданных кредитов и финансирования, в том числе в соответствии с исламскими принципами, несут коммерческие банки.</w:t>
      </w:r>
    </w:p>
    <w:p>
      <w:pPr>
        <w:spacing w:after="60"/>
        <w:ind w:firstLine="567"/>
        <w:jc w:val="both"/>
      </w:pPr>
      <w:r>
        <w:rPr>
          <w:rFonts w:ascii="Arial" w:cs="Arial" w:eastAsia="Arial" w:hAnsi="Arial"/>
          <w:sz w:val="24"/>
          <w:szCs w:val="24"/>
        </w:rPr>
        <w:t xml:space="preserve">13. Кредитование или финансирование заемщиков, в том числе в соответствии с исламскими принципами, осуществляется на основных общих условиях согласно </w:t>
      </w:r>
      <w:hyperlink w:history="1" r:id="rIdyirwwjxgwqn1llznjdx_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Коммерческие банки имеют право за счет собственных расходов устанавливать более длительный льготный период по выплате основной суммы, чем предусмотрено проектом.</w:t>
      </w:r>
    </w:p>
    <w:p>
      <w:pPr>
        <w:spacing w:after="60"/>
        <w:ind w:firstLine="567"/>
        <w:jc w:val="both"/>
      </w:pPr>
      <w:r>
        <w:rPr>
          <w:rFonts w:ascii="Arial" w:cs="Arial" w:eastAsia="Arial" w:hAnsi="Arial"/>
          <w:sz w:val="24"/>
          <w:szCs w:val="24"/>
        </w:rPr>
        <w:t xml:space="preserve">15. В случае недостаточности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 в максимальном размере до 50%.</w:t>
      </w:r>
    </w:p>
    <w:p>
      <w:pPr>
        <w:spacing w:after="200" w:before="200"/>
        <w:jc w:val="center"/>
      </w:pPr>
      <w:r>
        <w:rPr>
          <w:rFonts w:ascii="Arial" w:cs="Arial" w:eastAsia="Arial" w:hAnsi="Arial"/>
          <w:b/>
          <w:bCs/>
          <w:sz w:val="24"/>
          <w:szCs w:val="24"/>
        </w:rPr>
        <w:t xml:space="preserve">2. Условия по категориям</w:t>
      </w:r>
    </w:p>
    <w:p>
      <w:pPr>
        <w:spacing w:after="60"/>
        <w:ind w:firstLine="567"/>
        <w:jc w:val="both"/>
      </w:pPr>
      <w:r>
        <w:rPr>
          <w:rFonts w:ascii="Arial" w:cs="Arial" w:eastAsia="Arial" w:hAnsi="Arial"/>
          <w:sz w:val="24"/>
          <w:szCs w:val="24"/>
        </w:rPr>
        <w:t xml:space="preserve">16. Условия для хозяйствующих субъектов категории "Сельское хозяйство":</w:t>
      </w:r>
    </w:p>
    <w:p>
      <w:pPr>
        <w:spacing w:after="60"/>
        <w:ind w:firstLine="567"/>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разведением крупного рогатого скота;</w:t>
      </w:r>
    </w:p>
    <w:p>
      <w:pPr>
        <w:spacing w:after="60"/>
        <w:ind w:firstLine="567"/>
        <w:jc w:val="both"/>
      </w:pPr>
      <w:r>
        <w:rPr>
          <w:rFonts w:ascii="Arial" w:cs="Arial" w:eastAsia="Arial" w:hAnsi="Arial"/>
          <w:sz w:val="24"/>
          <w:szCs w:val="24"/>
        </w:rPr>
        <w:t xml:space="preserve">- разведением овец, коз, лошадей, кроликов;</w:t>
      </w:r>
    </w:p>
    <w:p>
      <w:pPr>
        <w:spacing w:after="60"/>
        <w:ind w:firstLine="567"/>
        <w:jc w:val="both"/>
      </w:pPr>
      <w:r>
        <w:rPr>
          <w:rFonts w:ascii="Arial" w:cs="Arial" w:eastAsia="Arial" w:hAnsi="Arial"/>
          <w:sz w:val="24"/>
          <w:szCs w:val="24"/>
        </w:rPr>
        <w:t xml:space="preserve">- разведением птицы (кур, уток, гусей, страусов, перепелок и других сельскохозяйственных птиц);</w:t>
      </w:r>
    </w:p>
    <w:p>
      <w:pPr>
        <w:spacing w:after="60"/>
        <w:ind w:firstLine="567"/>
        <w:jc w:val="both"/>
      </w:pPr>
      <w:r>
        <w:rPr>
          <w:rFonts w:ascii="Arial" w:cs="Arial" w:eastAsia="Arial" w:hAnsi="Arial"/>
          <w:sz w:val="24"/>
          <w:szCs w:val="24"/>
        </w:rPr>
        <w:t xml:space="preserve">- разведением медовых пчел, включая производство пчелиного меда и пчелиного воска;</w:t>
      </w:r>
    </w:p>
    <w:p>
      <w:pPr>
        <w:spacing w:after="60"/>
        <w:ind w:firstLine="567"/>
        <w:jc w:val="both"/>
      </w:pPr>
      <w:r>
        <w:rPr>
          <w:rFonts w:ascii="Arial" w:cs="Arial" w:eastAsia="Arial" w:hAnsi="Arial"/>
          <w:sz w:val="24"/>
          <w:szCs w:val="24"/>
        </w:rPr>
        <w:t xml:space="preserve">- рыбоводством и деятельностью рыбопитомников и рыбных хозяйств;</w:t>
      </w:r>
    </w:p>
    <w:p>
      <w:pPr>
        <w:spacing w:after="60"/>
        <w:ind w:firstLine="567"/>
        <w:jc w:val="both"/>
      </w:pPr>
      <w:r>
        <w:rPr>
          <w:rFonts w:ascii="Arial" w:cs="Arial" w:eastAsia="Arial" w:hAnsi="Arial"/>
          <w:sz w:val="24"/>
          <w:szCs w:val="24"/>
        </w:rPr>
        <w:t xml:space="preserve">- заготовкой, переработкой и подготовкой кормов;</w:t>
      </w:r>
    </w:p>
    <w:p>
      <w:pPr>
        <w:spacing w:after="60"/>
        <w:ind w:firstLine="567"/>
        <w:jc w:val="both"/>
      </w:pPr>
      <w:r>
        <w:rPr>
          <w:rFonts w:ascii="Arial" w:cs="Arial" w:eastAsia="Arial" w:hAnsi="Arial"/>
          <w:sz w:val="24"/>
          <w:szCs w:val="24"/>
        </w:rPr>
        <w:t xml:space="preserve">2) цели кредитов должны быть связаны с созданием, развитием, расширением, ведением животноводства, включая улучшение условий, базы для сельскохозяйственного скота и птицы, приобретения и заготовки кормов;</w:t>
      </w:r>
    </w:p>
    <w:p>
      <w:pPr>
        <w:spacing w:after="60"/>
        <w:ind w:firstLine="567"/>
        <w:jc w:val="both"/>
      </w:pPr>
      <w:r>
        <w:rPr>
          <w:rFonts w:ascii="Arial" w:cs="Arial" w:eastAsia="Arial" w:hAnsi="Arial"/>
          <w:sz w:val="24"/>
          <w:szCs w:val="24"/>
        </w:rPr>
        <w:t xml:space="preserve">3) хозяйствующие субъекты данной категории должны иметь все необходимые условия для содержания и разведения сельскохозяйственных животных (как собственных, так и предоставленных в пользование или в аренду).</w:t>
      </w:r>
    </w:p>
    <w:p>
      <w:pPr>
        <w:spacing w:after="60"/>
        <w:ind w:firstLine="567"/>
        <w:jc w:val="both"/>
      </w:pPr>
      <w:r>
        <w:rPr>
          <w:rFonts w:ascii="Arial" w:cs="Arial" w:eastAsia="Arial" w:hAnsi="Arial"/>
          <w:sz w:val="24"/>
          <w:szCs w:val="24"/>
        </w:rPr>
        <w:t xml:space="preserve">17. Условия для хозяйствующих субъектов категории "Производство и переработка сельскохозяйственной продукции, торгово-логистические центры и овощные хранилища":</w:t>
      </w:r>
    </w:p>
    <w:p>
      <w:pPr>
        <w:spacing w:after="60"/>
        <w:ind w:firstLine="567"/>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растениеводством (выращивание фруктов, зерновых, овощных культур);</w:t>
      </w:r>
    </w:p>
    <w:p>
      <w:pPr>
        <w:spacing w:after="60"/>
        <w:ind w:firstLine="567"/>
        <w:jc w:val="both"/>
      </w:pPr>
      <w:r>
        <w:rPr>
          <w:rFonts w:ascii="Arial" w:cs="Arial" w:eastAsia="Arial" w:hAnsi="Arial"/>
          <w:sz w:val="24"/>
          <w:szCs w:val="24"/>
        </w:rPr>
        <w:t xml:space="preserve">- переработкой сельскохозяйственной продукции (зерновые, бобовые, мясо, рыба, молоко, шкура, шерсть);</w:t>
      </w:r>
    </w:p>
    <w:p>
      <w:pPr>
        <w:spacing w:after="60"/>
        <w:ind w:firstLine="567"/>
        <w:jc w:val="both"/>
      </w:pPr>
      <w:r>
        <w:rPr>
          <w:rFonts w:ascii="Arial" w:cs="Arial" w:eastAsia="Arial" w:hAnsi="Arial"/>
          <w:sz w:val="24"/>
          <w:szCs w:val="24"/>
        </w:rPr>
        <w:t xml:space="preserve">- переработкой и консервированием рыбы;</w:t>
      </w:r>
    </w:p>
    <w:p>
      <w:pPr>
        <w:spacing w:after="60"/>
        <w:ind w:firstLine="567"/>
        <w:jc w:val="both"/>
      </w:pPr>
      <w:r>
        <w:rPr>
          <w:rFonts w:ascii="Arial" w:cs="Arial" w:eastAsia="Arial" w:hAnsi="Arial"/>
          <w:sz w:val="24"/>
          <w:szCs w:val="24"/>
        </w:rPr>
        <w:t xml:space="preserve">- переработкой и консервированием фруктов, овощей и ягод;</w:t>
      </w:r>
    </w:p>
    <w:p>
      <w:pPr>
        <w:spacing w:after="60"/>
        <w:ind w:firstLine="567"/>
        <w:jc w:val="both"/>
      </w:pPr>
      <w:r>
        <w:rPr>
          <w:rFonts w:ascii="Arial" w:cs="Arial" w:eastAsia="Arial" w:hAnsi="Arial"/>
          <w:sz w:val="24"/>
          <w:szCs w:val="24"/>
        </w:rPr>
        <w:t xml:space="preserve">- производством растительных и животных масел и жиров;</w:t>
      </w:r>
    </w:p>
    <w:p>
      <w:pPr>
        <w:spacing w:after="60"/>
        <w:ind w:firstLine="567"/>
        <w:jc w:val="both"/>
      </w:pPr>
      <w:r>
        <w:rPr>
          <w:rFonts w:ascii="Arial" w:cs="Arial" w:eastAsia="Arial" w:hAnsi="Arial"/>
          <w:sz w:val="24"/>
          <w:szCs w:val="24"/>
        </w:rPr>
        <w:t xml:space="preserve">- производством кормов для сельскохозяйственных животных;</w:t>
      </w:r>
    </w:p>
    <w:p>
      <w:pPr>
        <w:spacing w:after="60"/>
        <w:ind w:firstLine="567"/>
        <w:jc w:val="both"/>
      </w:pPr>
      <w:r>
        <w:rPr>
          <w:rFonts w:ascii="Arial" w:cs="Arial" w:eastAsia="Arial" w:hAnsi="Arial"/>
          <w:sz w:val="24"/>
          <w:szCs w:val="24"/>
        </w:rPr>
        <w:t xml:space="preserve">- производством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60"/>
        <w:ind w:firstLine="567"/>
        <w:jc w:val="both"/>
      </w:pPr>
      <w:r>
        <w:rPr>
          <w:rFonts w:ascii="Arial" w:cs="Arial" w:eastAsia="Arial" w:hAnsi="Arial"/>
          <w:sz w:val="24"/>
          <w:szCs w:val="24"/>
        </w:rPr>
        <w:t xml:space="preserve">- упаковкой, складированием и хранением сельскохозяйственной продукции, включая овощехранилища;</w:t>
      </w:r>
    </w:p>
    <w:p>
      <w:pPr>
        <w:spacing w:after="60"/>
        <w:ind w:firstLine="567"/>
        <w:jc w:val="both"/>
      </w:pPr>
      <w:r>
        <w:rPr>
          <w:rFonts w:ascii="Arial" w:cs="Arial" w:eastAsia="Arial" w:hAnsi="Arial"/>
          <w:sz w:val="24"/>
          <w:szCs w:val="24"/>
        </w:rPr>
        <w:t xml:space="preserve">- убойные цеха для сельскохозяйственного скота и птицы;</w:t>
      </w:r>
    </w:p>
    <w:p>
      <w:pPr>
        <w:spacing w:after="60"/>
        <w:ind w:firstLine="567"/>
        <w:jc w:val="both"/>
      </w:pPr>
      <w:r>
        <w:rPr>
          <w:rFonts w:ascii="Arial" w:cs="Arial" w:eastAsia="Arial" w:hAnsi="Arial"/>
          <w:sz w:val="24"/>
          <w:szCs w:val="24"/>
        </w:rPr>
        <w:t xml:space="preserve">- изготовлением войлока и войлочных изделий;</w:t>
      </w:r>
    </w:p>
    <w:p>
      <w:pPr>
        <w:spacing w:after="60"/>
        <w:ind w:firstLine="567"/>
        <w:jc w:val="both"/>
      </w:pPr>
      <w:r>
        <w:rPr>
          <w:rFonts w:ascii="Arial" w:cs="Arial" w:eastAsia="Arial" w:hAnsi="Arial"/>
          <w:sz w:val="24"/>
          <w:szCs w:val="24"/>
        </w:rPr>
        <w:t xml:space="preserve">- строительством торгово-логистических центров для организации закупок, хранения, перевозки и сбыта сельскохозяйственной продукции;</w:t>
      </w:r>
    </w:p>
    <w:p>
      <w:pPr>
        <w:spacing w:after="60"/>
        <w:ind w:firstLine="567"/>
        <w:jc w:val="both"/>
      </w:pPr>
      <w:r>
        <w:rPr>
          <w:rFonts w:ascii="Arial" w:cs="Arial" w:eastAsia="Arial" w:hAnsi="Arial"/>
          <w:sz w:val="24"/>
          <w:szCs w:val="24"/>
        </w:rPr>
        <w:t xml:space="preserve">2) 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60"/>
        <w:ind w:firstLine="567"/>
        <w:jc w:val="both"/>
      </w:pPr>
      <w:r>
        <w:rPr>
          <w:rFonts w:ascii="Arial" w:cs="Arial" w:eastAsia="Arial" w:hAnsi="Arial"/>
          <w:sz w:val="24"/>
          <w:szCs w:val="24"/>
        </w:rPr>
        <w:t xml:space="preserve">3) хозяйствующие субъекты (предприятия пищевой и перерабатывающей промышленности) должны предоставить соответствующую смету в случае строительства, к примеру, зданий для завода, сооружений для животных, цехов для убоя, водоемов для рыбных хозяйств, помещений для заморозки, в соответствии с заявленным назначением кредита;</w:t>
      </w:r>
    </w:p>
    <w:p>
      <w:pPr>
        <w:spacing w:after="60"/>
        <w:ind w:firstLine="567"/>
        <w:jc w:val="both"/>
      </w:pPr>
      <w:r>
        <w:rPr>
          <w:rFonts w:ascii="Arial" w:cs="Arial" w:eastAsia="Arial" w:hAnsi="Arial"/>
          <w:sz w:val="24"/>
          <w:szCs w:val="24"/>
        </w:rPr>
        <w:t xml:space="preserve">4) приоритетом в данной категории являются хозяйствующие субъекты:</w:t>
      </w:r>
    </w:p>
    <w:p>
      <w:pPr>
        <w:spacing w:after="60"/>
        <w:ind w:firstLine="567"/>
        <w:jc w:val="both"/>
      </w:pPr>
      <w:r>
        <w:rPr>
          <w:rFonts w:ascii="Arial" w:cs="Arial" w:eastAsia="Arial" w:hAnsi="Arial"/>
          <w:sz w:val="24"/>
          <w:szCs w:val="24"/>
        </w:rPr>
        <w:t xml:space="preserve">- производящие сельскохозяйственную и пищевую продукцию;</w:t>
      </w:r>
    </w:p>
    <w:p>
      <w:pPr>
        <w:spacing w:after="60"/>
        <w:ind w:firstLine="567"/>
        <w:jc w:val="both"/>
      </w:pPr>
      <w:r>
        <w:rPr>
          <w:rFonts w:ascii="Arial" w:cs="Arial" w:eastAsia="Arial" w:hAnsi="Arial"/>
          <w:sz w:val="24"/>
          <w:szCs w:val="24"/>
        </w:rPr>
        <w:t xml:space="preserve">- заключившие договоры и/или контракты с местными производителями, участвующими в проекте, на поставку сельскохозяйственной продукции (сырья).</w:t>
      </w:r>
    </w:p>
    <w:p>
      <w:pPr>
        <w:spacing w:after="60"/>
        <w:ind w:firstLine="567"/>
        <w:jc w:val="both"/>
      </w:pPr>
      <w:r>
        <w:rPr>
          <w:rFonts w:ascii="Arial" w:cs="Arial" w:eastAsia="Arial" w:hAnsi="Arial"/>
          <w:sz w:val="24"/>
          <w:szCs w:val="24"/>
        </w:rPr>
        <w:t xml:space="preserve">18. Условия для хозяйствующих субъектов категории "Промышленность, транспорт, экспортоориентированные и импортозамещающие предприятия, инновационная деятельность (создание новых предприятий или новых направлений деятельности)":</w:t>
      </w:r>
    </w:p>
    <w:p>
      <w:pPr>
        <w:spacing w:after="60"/>
        <w:ind w:firstLine="567"/>
        <w:jc w:val="both"/>
      </w:pPr>
      <w:r>
        <w:rPr>
          <w:rFonts w:ascii="Arial" w:cs="Arial" w:eastAsia="Arial" w:hAnsi="Arial"/>
          <w:sz w:val="24"/>
          <w:szCs w:val="24"/>
        </w:rPr>
        <w:t xml:space="preserve">1) 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приобретением, обновлением, расширением и модернизацией основных средств;</w:t>
      </w:r>
    </w:p>
    <w:p>
      <w:pPr>
        <w:spacing w:after="60"/>
        <w:ind w:firstLine="567"/>
        <w:jc w:val="both"/>
      </w:pPr>
      <w:r>
        <w:rPr>
          <w:rFonts w:ascii="Arial" w:cs="Arial" w:eastAsia="Arial" w:hAnsi="Arial"/>
          <w:sz w:val="24"/>
          <w:szCs w:val="24"/>
        </w:rPr>
        <w:t xml:space="preserve">- закупкой сырья, комплектующих, запасных частей;</w:t>
      </w:r>
    </w:p>
    <w:p>
      <w:pPr>
        <w:spacing w:after="60"/>
        <w:ind w:firstLine="567"/>
        <w:jc w:val="both"/>
      </w:pPr>
      <w:r>
        <w:rPr>
          <w:rFonts w:ascii="Arial" w:cs="Arial" w:eastAsia="Arial" w:hAnsi="Arial"/>
          <w:sz w:val="24"/>
          <w:szCs w:val="24"/>
        </w:rPr>
        <w:t xml:space="preserve">- приобретением, обновлением, расширением и модернизацией основных средств, закупкой товаров, сырья, комплектующих, запасных частей субъектами предпринимательской деятельности, применяющими компоненты цифровизации (электронные счета-фактуры, программные ККМ, маркировка товаров);</w:t>
      </w:r>
    </w:p>
    <w:p>
      <w:pPr>
        <w:spacing w:after="60"/>
        <w:ind w:firstLine="567"/>
        <w:jc w:val="both"/>
      </w:pPr>
      <w:r>
        <w:rPr>
          <w:rFonts w:ascii="Arial" w:cs="Arial" w:eastAsia="Arial" w:hAnsi="Arial"/>
          <w:sz w:val="24"/>
          <w:szCs w:val="24"/>
        </w:rPr>
        <w:t xml:space="preserve">- рефинансированием кредитов промышленных, обрабатывающих и перерабатывающих предприятий;</w:t>
      </w:r>
    </w:p>
    <w:p>
      <w:pPr>
        <w:spacing w:after="60"/>
        <w:ind w:firstLine="567"/>
        <w:jc w:val="both"/>
      </w:pPr>
      <w:r>
        <w:rPr>
          <w:rFonts w:ascii="Arial" w:cs="Arial" w:eastAsia="Arial" w:hAnsi="Arial"/>
          <w:sz w:val="24"/>
          <w:szCs w:val="24"/>
        </w:rPr>
        <w:t xml:space="preserve">2) субъектам, занимающимся внедрением цифровых технологий, рекомендуется предоставить бизнес-план с технико-экономическим обоснованием проекта.</w:t>
      </w:r>
    </w:p>
    <w:p>
      <w:pPr>
        <w:spacing w:after="60"/>
        <w:ind w:firstLine="567"/>
        <w:jc w:val="both"/>
      </w:pPr>
      <w:r>
        <w:rPr>
          <w:rFonts w:ascii="Arial" w:cs="Arial" w:eastAsia="Arial" w:hAnsi="Arial"/>
          <w:sz w:val="24"/>
          <w:szCs w:val="24"/>
        </w:rPr>
        <w:t xml:space="preserve">19. Условия для хозяйствующих субъектов категории "Туризм":</w:t>
      </w:r>
    </w:p>
    <w:p>
      <w:pPr>
        <w:spacing w:after="60"/>
        <w:ind w:firstLine="567"/>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улучшением инфраструктуры туризма (дороги, отели, мотели, кафе и рестораны и т.п.);</w:t>
      </w:r>
    </w:p>
    <w:p>
      <w:pPr>
        <w:spacing w:after="60"/>
        <w:ind w:firstLine="567"/>
        <w:jc w:val="both"/>
      </w:pPr>
      <w:r>
        <w:rPr>
          <w:rFonts w:ascii="Arial" w:cs="Arial" w:eastAsia="Arial" w:hAnsi="Arial"/>
          <w:sz w:val="24"/>
          <w:szCs w:val="24"/>
        </w:rPr>
        <w:t xml:space="preserve">- развитием внутреннего туризма;</w:t>
      </w:r>
    </w:p>
    <w:p>
      <w:pPr>
        <w:spacing w:after="60"/>
        <w:ind w:firstLine="567"/>
        <w:jc w:val="both"/>
      </w:pPr>
      <w:r>
        <w:rPr>
          <w:rFonts w:ascii="Arial" w:cs="Arial" w:eastAsia="Arial" w:hAnsi="Arial"/>
          <w:sz w:val="24"/>
          <w:szCs w:val="24"/>
        </w:rPr>
        <w:t xml:space="preserve">- промоутингом в сфере туризма.</w:t>
      </w:r>
    </w:p>
    <w:p>
      <w:pPr>
        <w:spacing w:after="60"/>
        <w:ind w:firstLine="567"/>
        <w:jc w:val="both"/>
      </w:pPr>
      <w:r>
        <w:rPr>
          <w:rFonts w:ascii="Arial" w:cs="Arial" w:eastAsia="Arial" w:hAnsi="Arial"/>
          <w:sz w:val="24"/>
          <w:szCs w:val="24"/>
        </w:rPr>
        <w:t xml:space="preserve">20. Условия для хозяйствующих субъектов категории "Транспорт, торговля, сфера услуг, сфера образования":</w:t>
      </w:r>
    </w:p>
    <w:p>
      <w:pPr>
        <w:spacing w:after="60"/>
        <w:ind w:firstLine="567"/>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1) предоставлением:</w:t>
      </w:r>
    </w:p>
    <w:p>
      <w:pPr>
        <w:spacing w:after="60"/>
        <w:ind w:firstLine="567"/>
        <w:jc w:val="both"/>
      </w:pPr>
      <w:r>
        <w:rPr>
          <w:rFonts w:ascii="Arial" w:cs="Arial" w:eastAsia="Arial" w:hAnsi="Arial"/>
          <w:sz w:val="24"/>
          <w:szCs w:val="24"/>
        </w:rPr>
        <w:t xml:space="preserve">- услуг в сфере обслуживания населения;</w:t>
      </w:r>
    </w:p>
    <w:p>
      <w:pPr>
        <w:spacing w:after="60"/>
        <w:ind w:firstLine="567"/>
        <w:jc w:val="both"/>
      </w:pPr>
      <w:r>
        <w:rPr>
          <w:rFonts w:ascii="Arial" w:cs="Arial" w:eastAsia="Arial" w:hAnsi="Arial"/>
          <w:sz w:val="24"/>
          <w:szCs w:val="24"/>
        </w:rPr>
        <w:t xml:space="preserve">- услуг в сфере обслуживания автотранспортных средств;</w:t>
      </w:r>
    </w:p>
    <w:p>
      <w:pPr>
        <w:spacing w:after="60"/>
        <w:ind w:firstLine="567"/>
        <w:jc w:val="both"/>
      </w:pPr>
      <w:r>
        <w:rPr>
          <w:rFonts w:ascii="Arial" w:cs="Arial" w:eastAsia="Arial" w:hAnsi="Arial"/>
          <w:sz w:val="24"/>
          <w:szCs w:val="24"/>
        </w:rPr>
        <w:t xml:space="preserve">- услуг в сфере образования (для детей и взрослых);</w:t>
      </w:r>
    </w:p>
    <w:p>
      <w:pPr>
        <w:spacing w:after="60"/>
        <w:ind w:firstLine="567"/>
        <w:jc w:val="both"/>
      </w:pPr>
      <w:r>
        <w:rPr>
          <w:rFonts w:ascii="Arial" w:cs="Arial" w:eastAsia="Arial" w:hAnsi="Arial"/>
          <w:sz w:val="24"/>
          <w:szCs w:val="24"/>
        </w:rPr>
        <w:t xml:space="preserve">- ветеринарных услуг;</w:t>
      </w:r>
    </w:p>
    <w:p>
      <w:pPr>
        <w:spacing w:after="60"/>
        <w:ind w:firstLine="567"/>
        <w:jc w:val="both"/>
      </w:pPr>
      <w:r>
        <w:rPr>
          <w:rFonts w:ascii="Arial" w:cs="Arial" w:eastAsia="Arial" w:hAnsi="Arial"/>
          <w:sz w:val="24"/>
          <w:szCs w:val="24"/>
        </w:rPr>
        <w:t xml:space="preserve">- консалтинговых услуг в сфере сельского хозяйства;</w:t>
      </w:r>
    </w:p>
    <w:p>
      <w:pPr>
        <w:spacing w:after="60"/>
        <w:ind w:firstLine="567"/>
        <w:jc w:val="both"/>
      </w:pPr>
      <w:r>
        <w:rPr>
          <w:rFonts w:ascii="Arial" w:cs="Arial" w:eastAsia="Arial" w:hAnsi="Arial"/>
          <w:sz w:val="24"/>
          <w:szCs w:val="24"/>
        </w:rPr>
        <w:t xml:space="preserve">- транспортных услуг;</w:t>
      </w:r>
    </w:p>
    <w:p>
      <w:pPr>
        <w:spacing w:after="60"/>
        <w:ind w:firstLine="567"/>
        <w:jc w:val="both"/>
      </w:pPr>
      <w:r>
        <w:rPr>
          <w:rFonts w:ascii="Arial" w:cs="Arial" w:eastAsia="Arial" w:hAnsi="Arial"/>
          <w:sz w:val="24"/>
          <w:szCs w:val="24"/>
        </w:rPr>
        <w:t xml:space="preserve">2) торговлей.</w:t>
      </w:r>
    </w:p>
    <w:p>
      <w:pPr>
        <w:spacing w:after="60"/>
        <w:ind w:firstLine="567"/>
        <w:jc w:val="both"/>
      </w:pPr>
      <w:r>
        <w:rPr>
          <w:rFonts w:ascii="Arial" w:cs="Arial" w:eastAsia="Arial" w:hAnsi="Arial"/>
          <w:sz w:val="24"/>
          <w:szCs w:val="24"/>
        </w:rPr>
        <w:t xml:space="preserve">21. Условия для хозяйствующих субъектов категории "Информационные технологии, производство защитных медицинских средств и средств индивидуальной защиты":</w:t>
      </w:r>
    </w:p>
    <w:p>
      <w:pPr>
        <w:spacing w:after="60"/>
        <w:ind w:firstLine="567"/>
        <w:jc w:val="both"/>
      </w:pPr>
      <w:r>
        <w:rPr>
          <w:rFonts w:ascii="Arial" w:cs="Arial" w:eastAsia="Arial" w:hAnsi="Arial"/>
          <w:sz w:val="24"/>
          <w:szCs w:val="24"/>
        </w:rPr>
        <w:t xml:space="preserve">к данной категории относятся хозяйствующие субъекты, занимающиеся:</w:t>
      </w:r>
    </w:p>
    <w:p>
      <w:pPr>
        <w:spacing w:after="60"/>
        <w:ind w:firstLine="567"/>
        <w:jc w:val="both"/>
      </w:pPr>
      <w:r>
        <w:rPr>
          <w:rFonts w:ascii="Arial" w:cs="Arial" w:eastAsia="Arial" w:hAnsi="Arial"/>
          <w:sz w:val="24"/>
          <w:szCs w:val="24"/>
        </w:rPr>
        <w:t xml:space="preserve">- производством защитных медицинских средств и средств индивидуальной защиты;</w:t>
      </w:r>
    </w:p>
    <w:p>
      <w:pPr>
        <w:spacing w:after="60"/>
        <w:ind w:firstLine="567"/>
        <w:jc w:val="both"/>
      </w:pPr>
      <w:r>
        <w:rPr>
          <w:rFonts w:ascii="Arial" w:cs="Arial" w:eastAsia="Arial" w:hAnsi="Arial"/>
          <w:sz w:val="24"/>
          <w:szCs w:val="24"/>
        </w:rPr>
        <w:t xml:space="preserve">- развитием компьютерной техники и иных высоких технологий, новейших средств коммуникации;</w:t>
      </w:r>
    </w:p>
    <w:p>
      <w:pPr>
        <w:spacing w:after="60"/>
        <w:ind w:firstLine="567"/>
        <w:jc w:val="both"/>
      </w:pPr>
      <w:r>
        <w:rPr>
          <w:rFonts w:ascii="Arial" w:cs="Arial" w:eastAsia="Arial" w:hAnsi="Arial"/>
          <w:sz w:val="24"/>
          <w:szCs w:val="24"/>
        </w:rPr>
        <w:t xml:space="preserve">- разработкой, внедрением, приобретением, улучшением программного обеспечения, в том числе баз данных и прикладного программного обеспечения;</w:t>
      </w:r>
    </w:p>
    <w:p>
      <w:pPr>
        <w:spacing w:after="60"/>
        <w:ind w:firstLine="567"/>
        <w:jc w:val="both"/>
      </w:pPr>
      <w:r>
        <w:rPr>
          <w:rFonts w:ascii="Arial" w:cs="Arial" w:eastAsia="Arial" w:hAnsi="Arial"/>
          <w:sz w:val="24"/>
          <w:szCs w:val="24"/>
        </w:rPr>
        <w:t xml:space="preserve">- внедрением инновационных технологий для развития сельского хозяйства.</w:t>
      </w:r>
    </w:p>
    <w:p>
      <w:pPr>
        <w:spacing w:after="200" w:before="200"/>
        <w:jc w:val="center"/>
      </w:pPr>
      <w:r>
        <w:rPr>
          <w:rFonts w:ascii="Arial" w:cs="Arial" w:eastAsia="Arial" w:hAnsi="Arial"/>
          <w:b/>
          <w:bCs/>
          <w:sz w:val="24"/>
          <w:szCs w:val="24"/>
        </w:rPr>
        <w:t xml:space="preserve">3. Описание реализации проекта</w:t>
      </w:r>
    </w:p>
    <w:p>
      <w:pPr>
        <w:spacing w:after="60"/>
        <w:ind w:firstLine="567"/>
        <w:jc w:val="both"/>
      </w:pPr>
      <w:r>
        <w:rPr>
          <w:rFonts w:ascii="Arial" w:cs="Arial" w:eastAsia="Arial" w:hAnsi="Arial"/>
          <w:sz w:val="24"/>
          <w:szCs w:val="24"/>
        </w:rPr>
        <w:t xml:space="preserve">22. Коммерческие банки, участвующие в проекте, в течение 10 дней после вступления в силу настоящего распоряжения должны подать в Министерство финансов Кыргызской Республики заявку на участие в реализации проекта с обязательным указанием объема кредитования согласно приложению к проекту, при этом ставка субсидирования не должна превышать 11,10 процента годовых.</w:t>
      </w:r>
    </w:p>
    <w:p>
      <w:pPr>
        <w:spacing w:after="60"/>
        <w:ind w:firstLine="567"/>
        <w:jc w:val="both"/>
      </w:pPr>
      <w:r>
        <w:rPr>
          <w:rFonts w:ascii="Arial" w:cs="Arial" w:eastAsia="Arial" w:hAnsi="Arial"/>
          <w:sz w:val="24"/>
          <w:szCs w:val="24"/>
        </w:rPr>
        <w:t xml:space="preserve">23. В целях надлежащего информирования населения Баткенской области Кыргызской Республики о реализации проекта коммерческие банки,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60"/>
        <w:ind w:firstLine="567"/>
        <w:jc w:val="both"/>
      </w:pPr>
      <w:r>
        <w:rPr>
          <w:rFonts w:ascii="Arial" w:cs="Arial" w:eastAsia="Arial" w:hAnsi="Arial"/>
          <w:sz w:val="24"/>
          <w:szCs w:val="24"/>
        </w:rPr>
        <w:t xml:space="preserve">24. Финансирование по проекту предоставляется для жителей приграничных сел Баткенской области согласно пункту 5 настоящего проекта (по прописке, фактическому проживанию, фактическому ведению хозяйства и т.д.).</w:t>
      </w:r>
    </w:p>
    <w:p>
      <w:pPr>
        <w:spacing w:after="60"/>
        <w:ind w:firstLine="567"/>
        <w:jc w:val="both"/>
      </w:pPr>
      <w:r>
        <w:rPr>
          <w:rFonts w:ascii="Arial" w:cs="Arial" w:eastAsia="Arial" w:hAnsi="Arial"/>
          <w:sz w:val="24"/>
          <w:szCs w:val="24"/>
        </w:rPr>
        <w:t xml:space="preserve">25. Для получения субсидий в рамках проекта коммерческие банки на ежемесячной основе, до 10 числа каждого месяца,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60"/>
        <w:ind w:firstLine="567"/>
        <w:jc w:val="both"/>
      </w:pPr>
      <w:r>
        <w:rPr>
          <w:rFonts w:ascii="Arial" w:cs="Arial" w:eastAsia="Arial" w:hAnsi="Arial"/>
          <w:sz w:val="24"/>
          <w:szCs w:val="24"/>
        </w:rPr>
        <w:t xml:space="preserve">26.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банкам транша субсидий.</w:t>
      </w:r>
    </w:p>
    <w:p>
      <w:pPr>
        <w:spacing w:after="60"/>
        <w:ind w:firstLine="567"/>
        <w:jc w:val="both"/>
      </w:pPr>
      <w:r>
        <w:rPr>
          <w:rFonts w:ascii="Arial" w:cs="Arial" w:eastAsia="Arial" w:hAnsi="Arial"/>
          <w:sz w:val="24"/>
          <w:szCs w:val="24"/>
        </w:rPr>
        <w:t xml:space="preserve">27. Транши субсидий переводятся на расчетные счета коммерческих банков Министерством финансов Кыргызской Республики из средств республиканского бюджета.</w:t>
      </w:r>
    </w:p>
    <w:p>
      <w:pPr>
        <w:spacing w:after="60"/>
        <w:ind w:firstLine="567"/>
        <w:jc w:val="both"/>
      </w:pPr>
      <w:r>
        <w:rPr>
          <w:rFonts w:ascii="Arial" w:cs="Arial" w:eastAsia="Arial" w:hAnsi="Arial"/>
          <w:sz w:val="24"/>
          <w:szCs w:val="24"/>
        </w:rPr>
        <w:t xml:space="preserve">28. Надзор за деятельностью коммерческих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29. Коммерческие банки, участвующие в реализации проекта, еженедельно предоставляют в Министерство финансов Кыргызской Республики информацию о выданных кредитах.</w:t>
      </w:r>
    </w:p>
    <w:p>
      <w:pPr>
        <w:spacing w:after="200" w:before="200"/>
        <w:jc w:val="center"/>
      </w:pPr>
      <w:r>
        <w:rPr>
          <w:rFonts w:ascii="Arial" w:cs="Arial" w:eastAsia="Arial" w:hAnsi="Arial"/>
          <w:b/>
          <w:bCs/>
          <w:sz w:val="24"/>
          <w:szCs w:val="24"/>
        </w:rPr>
        <w:t xml:space="preserve">4. Расчет субсидий</w:t>
      </w:r>
    </w:p>
    <w:p>
      <w:pPr>
        <w:spacing w:after="60"/>
        <w:ind w:firstLine="567"/>
        <w:jc w:val="both"/>
      </w:pPr>
      <w:r>
        <w:rPr>
          <w:rFonts w:ascii="Arial" w:cs="Arial" w:eastAsia="Arial" w:hAnsi="Arial"/>
          <w:sz w:val="24"/>
          <w:szCs w:val="24"/>
        </w:rPr>
        <w:t xml:space="preserve">30. Ставка субсидирования составляет первые 3 года 11,10 процента годовых, последующие 2 года - 8,10 процента годовых. Для покрытия расходов коммерческих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коммерческих банков согласно данным Национального банка Кыргызской Республики за 6 месяцев 2023 года:</w:t>
      </w:r>
    </w:p>
    <w:p>
      <w:pPr>
        <w:spacing w:after="60"/>
        <w:ind w:firstLine="567"/>
        <w:jc w:val="both"/>
      </w:pPr>
      <w:r>
        <w:rPr>
          <w:rFonts w:ascii="Arial" w:cs="Arial" w:eastAsia="Arial" w:hAnsi="Arial"/>
          <w:sz w:val="24"/>
          <w:szCs w:val="24"/>
        </w:rPr>
        <w:t xml:space="preserve">1) ставка субсидирования составляет 11,10 процента годовых на 36 месяцев, 8,10 процента годовых на последующие 24 месяца остается неизменной;</w:t>
      </w:r>
    </w:p>
    <w:p>
      <w:pPr>
        <w:spacing w:after="6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29,59. Из них часть субсидий перечисляется в 2023 году по расчетному коэффициенту 10,00; часть - в 2024 году по расчетному коэффициенту 9,58; часть - в 2025 году по расчетному коэффициенту 6,27; часть - в 2026 году по расчетному коэффициенту 2,77; часть - в 2027 году по расчетному коэффициенту 0,97;</w:t>
      </w:r>
    </w:p>
    <w:p>
      <w:pPr>
        <w:spacing w:after="60"/>
        <w:ind w:firstLine="567"/>
        <w:jc w:val="both"/>
      </w:pPr>
      <w:r>
        <w:rPr>
          <w:rFonts w:ascii="Arial" w:cs="Arial" w:eastAsia="Arial" w:hAnsi="Arial"/>
          <w:sz w:val="24"/>
          <w:szCs w:val="24"/>
        </w:rPr>
        <w:t xml:space="preserve">3) для кредитов, выдаваемых сроком на 48 месяцев, расчетный коэффициент субсидирования составляет 24,97. Из них часть субсидий перечисляется в 2023 году по расчетному коэффициенту 9,95; часть - в 2024 году по расчетному коэффициенту 8,88; часть - в 2025 году по расчетному коэффициенту 4,89; часть - в 2026 году по расчетному коэффициенту 1,25;</w:t>
      </w:r>
    </w:p>
    <w:p>
      <w:pPr>
        <w:spacing w:after="60"/>
        <w:ind w:firstLine="567"/>
        <w:jc w:val="both"/>
      </w:pPr>
      <w:r>
        <w:rPr>
          <w:rFonts w:ascii="Arial" w:cs="Arial" w:eastAsia="Arial" w:hAnsi="Arial"/>
          <w:sz w:val="24"/>
          <w:szCs w:val="24"/>
        </w:rPr>
        <w:t xml:space="preserve">4) для кредитов, выдаваемых сроком на 36 месяцев, расчетный коэффициент субсидирования составляет 19,90. Из них часть субсидий перечисляется в 2023 году по расчетному коэффициенту 9,87; часть - в 2024 году по расчетному коэффициенту 7,62; часть - в 2025 году по расчетному коэффициенту 2,41;</w:t>
      </w:r>
    </w:p>
    <w:p>
      <w:pPr>
        <w:spacing w:after="60"/>
        <w:ind w:firstLine="567"/>
        <w:jc w:val="both"/>
      </w:pPr>
      <w:r>
        <w:rPr>
          <w:rFonts w:ascii="Arial" w:cs="Arial" w:eastAsia="Arial" w:hAnsi="Arial"/>
          <w:sz w:val="24"/>
          <w:szCs w:val="24"/>
        </w:rPr>
        <w:t xml:space="preserve">5) для кредитов, выдаваемых сроком на 18 месяцев, расчетный коэффициент субсидирования составляет 11,56. Из них часть субсидий перечисляется в 2023 году по расчетному коэффициенту 9,40; часть - в 2024 году по расчетному коэффициенту 2,16;</w:t>
      </w:r>
    </w:p>
    <w:p>
      <w:pPr>
        <w:spacing w:after="60"/>
        <w:ind w:firstLine="567"/>
        <w:jc w:val="both"/>
      </w:pPr>
      <w:r>
        <w:rPr>
          <w:rFonts w:ascii="Arial" w:cs="Arial" w:eastAsia="Arial" w:hAnsi="Arial"/>
          <w:sz w:val="24"/>
          <w:szCs w:val="24"/>
        </w:rPr>
        <w:t xml:space="preserve">6)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не превышает первые 3 года 11,10 процента годовых, последующие 2 года - 8,10 процента годовых.</w:t>
      </w:r>
    </w:p>
    <w:p>
      <w:pPr>
        <w:spacing w:after="200" w:before="200"/>
        <w:jc w:val="center"/>
      </w:pPr>
      <w:r>
        <w:rPr>
          <w:rFonts w:ascii="Arial" w:cs="Arial" w:eastAsia="Arial" w:hAnsi="Arial"/>
          <w:b/>
          <w:bCs/>
          <w:sz w:val="24"/>
          <w:szCs w:val="24"/>
        </w:rPr>
        <w:t xml:space="preserve">5. Перечисление субсидий</w:t>
      </w:r>
    </w:p>
    <w:p>
      <w:pPr>
        <w:spacing w:after="60"/>
        <w:ind w:firstLine="567"/>
        <w:jc w:val="both"/>
      </w:pPr>
      <w:r>
        <w:rPr>
          <w:rFonts w:ascii="Arial" w:cs="Arial" w:eastAsia="Arial" w:hAnsi="Arial"/>
          <w:sz w:val="24"/>
          <w:szCs w:val="24"/>
        </w:rPr>
        <w:t xml:space="preserve">31. Суммы субсидий перечисляются коммерческим банкам Министерством финансов Кыргызской Республики из средств республиканского бюджета пятью траншами, в том числе:</w:t>
      </w:r>
    </w:p>
    <w:p>
      <w:pPr>
        <w:spacing w:after="60"/>
        <w:ind w:firstLine="567"/>
        <w:jc w:val="both"/>
      </w:pPr>
      <w:r>
        <w:rPr>
          <w:rFonts w:ascii="Arial" w:cs="Arial" w:eastAsia="Arial" w:hAnsi="Arial"/>
          <w:sz w:val="24"/>
          <w:szCs w:val="24"/>
        </w:rPr>
        <w:t xml:space="preserve">1) первый транш - на сумму фактически выданных коммерческими банками кредитных средств за прошедший квартал, субсидии перечисляются в конце каждого квартала;</w:t>
      </w:r>
    </w:p>
    <w:p>
      <w:pPr>
        <w:spacing w:after="6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6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6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6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60"/>
        <w:ind w:firstLine="567"/>
        <w:jc w:val="both"/>
      </w:pPr>
      <w:r>
        <w:rPr>
          <w:rFonts w:ascii="Arial" w:cs="Arial" w:eastAsia="Arial" w:hAnsi="Arial"/>
          <w:sz w:val="24"/>
          <w:szCs w:val="24"/>
        </w:rPr>
        <w:t xml:space="preserve">32. Коммерческие банки,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предоставлять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обязаны представлять заявки за минусом досрочно погашенных кредитов. Коммерческие банки несут ответственность за достоверность предоставляемой информации по выданным и досрочно погашенным кредитам.</w:t>
      </w:r>
    </w:p>
    <w:p>
      <w:pPr>
        <w:spacing w:after="200" w:before="200"/>
        <w:jc w:val="center"/>
      </w:pPr>
      <w:r>
        <w:rPr>
          <w:rFonts w:ascii="Arial" w:cs="Arial" w:eastAsia="Arial" w:hAnsi="Arial"/>
          <w:b/>
          <w:bCs/>
          <w:sz w:val="24"/>
          <w:szCs w:val="24"/>
        </w:rPr>
        <w:t xml:space="preserve">6. Риски и угрозы</w:t>
      </w:r>
    </w:p>
    <w:p>
      <w:pPr>
        <w:spacing w:after="60"/>
        <w:ind w:firstLine="567"/>
        <w:jc w:val="both"/>
      </w:pPr>
      <w:r>
        <w:rPr>
          <w:rFonts w:ascii="Arial" w:cs="Arial" w:eastAsia="Arial" w:hAnsi="Arial"/>
          <w:sz w:val="24"/>
          <w:szCs w:val="24"/>
        </w:rPr>
        <w:t xml:space="preserve">33. При реализации проекта имеется риск нецелевого использования средств получателями льготных кредитов.</w:t>
      </w:r>
    </w:p>
    <w:p>
      <w:pPr>
        <w:spacing w:after="60"/>
        <w:ind w:firstLine="567"/>
        <w:jc w:val="both"/>
      </w:pPr>
      <w:r>
        <w:rPr>
          <w:rFonts w:ascii="Arial" w:cs="Arial" w:eastAsia="Arial" w:hAnsi="Arial"/>
          <w:sz w:val="24"/>
          <w:szCs w:val="24"/>
        </w:rPr>
        <w:t xml:space="preserve">34. Минимизация указанного риска осуществляется коммерческими банками в установленном порядке.</w:t>
      </w:r>
    </w:p>
    <w:p>
      <w:pPr>
        <w:spacing w:after="60"/>
        <w:ind w:firstLine="567"/>
        <w:jc w:val="both"/>
      </w:pPr>
      <w:r>
        <w:rPr>
          <w:rFonts w:ascii="Arial" w:cs="Arial" w:eastAsia="Arial" w:hAnsi="Arial"/>
          <w:sz w:val="24"/>
          <w:szCs w:val="24"/>
        </w:rPr>
        <w:t xml:space="preserve">35. При обнаружении факта нецелевого использования кредитных средств коммерческие банки должны составить соответствующий акт, потребовать от заемщика досрочного погашения остатка неиспользованных кредитных средств или установить процентные ставки в размере 18 процентов годовых со дня получения кредита. В этом случае коммерческие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60"/>
        <w:ind w:firstLine="567"/>
        <w:jc w:val="both"/>
      </w:pPr>
      <w:r>
        <w:rPr>
          <w:rFonts w:ascii="Arial" w:cs="Arial" w:eastAsia="Arial" w:hAnsi="Arial"/>
          <w:sz w:val="24"/>
          <w:szCs w:val="24"/>
        </w:rPr>
        <w:t xml:space="preserve">36. В целях минимизации риска необоснованного получения субсидий коммерческими банками:</w:t>
      </w:r>
    </w:p>
    <w:p>
      <w:pPr>
        <w:spacing w:after="60"/>
        <w:ind w:firstLine="567"/>
        <w:jc w:val="both"/>
      </w:pPr>
      <w:r>
        <w:rPr>
          <w:rFonts w:ascii="Arial" w:cs="Arial" w:eastAsia="Arial" w:hAnsi="Arial"/>
          <w:sz w:val="24"/>
          <w:szCs w:val="24"/>
        </w:rPr>
        <w:t xml:space="preserve">1) Национальный банк Кыргызской Республики в установленном порядке осуществляет надзор за деятельностью коммерческих банков на предмет соблюдения требований законодательства;</w:t>
      </w:r>
    </w:p>
    <w:p>
      <w:pPr>
        <w:spacing w:after="60"/>
        <w:ind w:firstLine="567"/>
        <w:jc w:val="both"/>
      </w:pPr>
      <w:r>
        <w:rPr>
          <w:rFonts w:ascii="Arial" w:cs="Arial" w:eastAsia="Arial" w:hAnsi="Arial"/>
          <w:sz w:val="24"/>
          <w:szCs w:val="24"/>
        </w:rPr>
        <w:t xml:space="preserve">2) Министерством финансов Кыргызской Республики совместно с Национальным банком Кыргызской Республики и Министерством сельского хозяйства Кыргызской Республики осуществляется мониторинг целевого использования кредитов и финансирования, в том числе в соответствии с исламскими принципами;</w:t>
      </w:r>
    </w:p>
    <w:p>
      <w:pPr>
        <w:spacing w:after="60"/>
        <w:ind w:firstLine="567"/>
        <w:jc w:val="both"/>
      </w:pPr>
      <w:r>
        <w:rPr>
          <w:rFonts w:ascii="Arial" w:cs="Arial" w:eastAsia="Arial" w:hAnsi="Arial"/>
          <w:sz w:val="24"/>
          <w:szCs w:val="24"/>
        </w:rPr>
        <w:t xml:space="preserve">3) при обнаружении факта намеренного нецелевого использования коммерческими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18%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60"/>
        <w:ind w:firstLine="567"/>
        <w:jc w:val="both"/>
      </w:pPr>
      <w:r>
        <w:rPr>
          <w:rFonts w:ascii="Arial" w:cs="Arial" w:eastAsia="Arial" w:hAnsi="Arial"/>
          <w:sz w:val="24"/>
          <w:szCs w:val="24"/>
        </w:rPr>
        <w:t xml:space="preserve">37. При наступлении форс-мажорных обстоятельств, таких как стихийные бедствия (пожар, наводнение, землетрясение или иные природные или техногенные катастрофы), война, военные действия любого рода, приграничные конфликтные ситуации, эпидемии, введение чрезвычайного положения, массовые беспорядки, а также иных обстоятельств, коммерческие банки самостоятельно принимают меры по их минимизации в порядке, установленном банковским законодательством Кыргызской Республики.</w:t>
      </w:r>
    </w:p>
    <w:p>
      <w:pPr>
        <w:spacing w:after="200" w:before="200"/>
        <w:jc w:val="center"/>
      </w:pPr>
      <w:r>
        <w:rPr>
          <w:rFonts w:ascii="Arial" w:cs="Arial" w:eastAsia="Arial" w:hAnsi="Arial"/>
          <w:b/>
          <w:bCs/>
          <w:sz w:val="24"/>
          <w:szCs w:val="24"/>
        </w:rPr>
        <w:t xml:space="preserve">7. Мониторинг целевого использования кредитных средств</w:t>
      </w:r>
    </w:p>
    <w:p>
      <w:pPr>
        <w:spacing w:after="60"/>
        <w:ind w:firstLine="567"/>
        <w:jc w:val="both"/>
      </w:pPr>
      <w:r>
        <w:rPr>
          <w:rFonts w:ascii="Arial" w:cs="Arial" w:eastAsia="Arial" w:hAnsi="Arial"/>
          <w:sz w:val="24"/>
          <w:szCs w:val="24"/>
        </w:rPr>
        <w:t xml:space="preserve">38. Мониторинг целевого использования кредитных средств будет осуществляться коммерческими банками следующим образом:</w:t>
      </w:r>
    </w:p>
    <w:p>
      <w:pPr>
        <w:spacing w:after="60"/>
        <w:ind w:firstLine="567"/>
        <w:jc w:val="both"/>
      </w:pPr>
      <w:r>
        <w:rPr>
          <w:rFonts w:ascii="Arial" w:cs="Arial" w:eastAsia="Arial" w:hAnsi="Arial"/>
          <w:sz w:val="24"/>
          <w:szCs w:val="24"/>
        </w:rPr>
        <w:t xml:space="preserve">1) в течение 2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 произведенных расходов по кредиту;</w:t>
      </w:r>
    </w:p>
    <w:p>
      <w:pPr>
        <w:spacing w:after="60"/>
        <w:ind w:firstLine="567"/>
        <w:jc w:val="both"/>
      </w:pPr>
      <w:r>
        <w:rPr>
          <w:rFonts w:ascii="Arial" w:cs="Arial" w:eastAsia="Arial" w:hAnsi="Arial"/>
          <w:sz w:val="24"/>
          <w:szCs w:val="24"/>
        </w:rPr>
        <w:t xml:space="preserve">2) в течение 1 месяца, следующих после получения отчета от заемщика о целевом использовании кредитных средств, уполномоченные сотрудники коммерческих банков с выездом на место будут осуществлять мониторинг с оформлением отчета о результатах проверки;</w:t>
      </w:r>
    </w:p>
    <w:p>
      <w:pPr>
        <w:spacing w:after="60"/>
        <w:ind w:firstLine="567"/>
        <w:jc w:val="both"/>
      </w:pPr>
      <w:r>
        <w:rPr>
          <w:rFonts w:ascii="Arial" w:cs="Arial" w:eastAsia="Arial" w:hAnsi="Arial"/>
          <w:sz w:val="24"/>
          <w:szCs w:val="24"/>
        </w:rPr>
        <w:t xml:space="preserve">3) коммерческие банки, участвующие в реализации проекта, обязаны включить в систему электронной очередности прием заявок от клиентов на получение кредитных средств.</w:t>
      </w:r>
    </w:p>
    <w:p>
      <w:pPr>
        <w:spacing w:after="60"/>
        <w:ind w:firstLine="567"/>
        <w:jc w:val="both"/>
      </w:pPr>
      <w:r>
        <w:rPr>
          <w:rFonts w:ascii="Arial" w:cs="Arial" w:eastAsia="Arial" w:hAnsi="Arial"/>
          <w:sz w:val="24"/>
          <w:szCs w:val="24"/>
        </w:rPr>
        <w:t xml:space="preserve">39. Заемщики обязаны представить и другие документы, подтверждающие целевое использование кредитов.</w:t>
      </w:r>
    </w:p>
    <w:p>
      <w:pPr>
        <w:spacing w:after="200" w:before="200"/>
        <w:jc w:val="center"/>
      </w:pPr>
      <w:r>
        <w:rPr>
          <w:rFonts w:ascii="Arial" w:cs="Arial" w:eastAsia="Arial" w:hAnsi="Arial"/>
          <w:b/>
          <w:bCs/>
          <w:sz w:val="24"/>
          <w:szCs w:val="24"/>
        </w:rPr>
        <w:t xml:space="preserve">8. Оценка эффективности проекта</w:t>
      </w:r>
    </w:p>
    <w:p>
      <w:pPr>
        <w:spacing w:after="60"/>
        <w:ind w:firstLine="567"/>
        <w:jc w:val="both"/>
      </w:pPr>
      <w:r>
        <w:rPr>
          <w:rFonts w:ascii="Arial" w:cs="Arial" w:eastAsia="Arial" w:hAnsi="Arial"/>
          <w:sz w:val="24"/>
          <w:szCs w:val="24"/>
        </w:rPr>
        <w:t xml:space="preserve">40. В целях оценки эффективности использования кредитных средств коммерческие банки и полномочный представитель Президента Кыргызской Республики в Баткенской области Кыргызской Республики по результатам реализации проекта на конец календарного года предоставляют в Министерство экономики и коммерции Кыргызской Республики и Министерство сельского хозяйства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60"/>
        <w:ind w:firstLine="567"/>
        <w:jc w:val="both"/>
      </w:pPr>
      <w:r>
        <w:rPr>
          <w:rFonts w:ascii="Arial" w:cs="Arial" w:eastAsia="Arial" w:hAnsi="Arial"/>
          <w:sz w:val="24"/>
          <w:szCs w:val="24"/>
        </w:rPr>
        <w:t xml:space="preserve">1) объем выданных кредитных средств в разрезе приграничных населенных пунктов и категорий, указанных в главе 2 настоящего проекта;</w:t>
      </w:r>
    </w:p>
    <w:p>
      <w:pPr>
        <w:spacing w:after="60"/>
        <w:ind w:firstLine="567"/>
        <w:jc w:val="both"/>
      </w:pPr>
      <w:r>
        <w:rPr>
          <w:rFonts w:ascii="Arial" w:cs="Arial" w:eastAsia="Arial" w:hAnsi="Arial"/>
          <w:sz w:val="24"/>
          <w:szCs w:val="24"/>
        </w:rPr>
        <w:t xml:space="preserve">2) количество созданных рабочих мест в результате реализации проекта;</w:t>
      </w:r>
    </w:p>
    <w:p>
      <w:pPr>
        <w:spacing w:after="60"/>
        <w:ind w:firstLine="567"/>
        <w:jc w:val="both"/>
      </w:pPr>
      <w:r>
        <w:rPr>
          <w:rFonts w:ascii="Arial" w:cs="Arial" w:eastAsia="Arial" w:hAnsi="Arial"/>
          <w:sz w:val="24"/>
          <w:szCs w:val="24"/>
        </w:rPr>
        <w:t xml:space="preserve">3)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60"/>
        <w:ind w:firstLine="567"/>
        <w:jc w:val="both"/>
      </w:pPr>
      <w:r>
        <w:rPr>
          <w:rFonts w:ascii="Arial" w:cs="Arial" w:eastAsia="Arial" w:hAnsi="Arial"/>
          <w:sz w:val="24"/>
          <w:szCs w:val="24"/>
        </w:rPr>
        <w:t xml:space="preserve">4) количество действующих предприятий в результате реализации проекта и объем их производства;</w:t>
      </w:r>
    </w:p>
    <w:p>
      <w:pPr>
        <w:spacing w:after="60"/>
        <w:ind w:firstLine="567"/>
        <w:jc w:val="both"/>
      </w:pPr>
      <w:r>
        <w:rPr>
          <w:rFonts w:ascii="Arial" w:cs="Arial" w:eastAsia="Arial" w:hAnsi="Arial"/>
          <w:sz w:val="24"/>
          <w:szCs w:val="24"/>
        </w:rPr>
        <w:t xml:space="preserve">5) количество реанимированных предприятий, которые ранее простаивали, и объем их производства;</w:t>
      </w:r>
    </w:p>
    <w:p>
      <w:pPr>
        <w:spacing w:after="60"/>
        <w:ind w:firstLine="567"/>
        <w:jc w:val="both"/>
      </w:pPr>
      <w:r>
        <w:rPr>
          <w:rFonts w:ascii="Arial" w:cs="Arial" w:eastAsia="Arial" w:hAnsi="Arial"/>
          <w:sz w:val="24"/>
          <w:szCs w:val="24"/>
        </w:rPr>
        <w:t xml:space="preserve">6) общий объем производства и продаж;</w:t>
      </w:r>
    </w:p>
    <w:p>
      <w:pPr>
        <w:spacing w:after="60"/>
        <w:ind w:firstLine="567"/>
        <w:jc w:val="both"/>
      </w:pPr>
      <w:r>
        <w:rPr>
          <w:rFonts w:ascii="Arial" w:cs="Arial" w:eastAsia="Arial" w:hAnsi="Arial"/>
          <w:sz w:val="24"/>
          <w:szCs w:val="24"/>
        </w:rPr>
        <w:t xml:space="preserve">7) общий объем экспорта;</w:t>
      </w:r>
    </w:p>
    <w:p>
      <w:pPr>
        <w:spacing w:after="60"/>
        <w:ind w:firstLine="567"/>
        <w:jc w:val="both"/>
      </w:pPr>
      <w:r>
        <w:rPr>
          <w:rFonts w:ascii="Arial" w:cs="Arial" w:eastAsia="Arial" w:hAnsi="Arial"/>
          <w:sz w:val="24"/>
          <w:szCs w:val="24"/>
        </w:rPr>
        <w:t xml:space="preserve">8) количество, вид и сумма финансовых средств, использованных для приобретения оборудования в результате реализации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проекту "Льготное финансирование Баткенской области - 2"</w:t>
      </w:r>
    </w:p>
    <w:p>
      <w:pPr>
        <w:spacing w:after="400" w:before="400"/>
        <w:jc w:val="center"/>
      </w:pPr>
      <w:r>
        <w:rPr>
          <w:rFonts w:ascii="Arial" w:cs="Arial" w:eastAsia="Arial" w:hAnsi="Arial"/>
          <w:b/>
          <w:bCs/>
          <w:sz w:val="28"/>
          <w:szCs w:val="28"/>
        </w:rPr>
        <w:t xml:space="preserve">ПЕРЕЧЕНЬ
 населенных пунктов, подлежащих льготному финансированию в Баткенской области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2"/>
        <w:gridCol w:w="4102"/>
        <w:gridCol w:w="5075"/>
      </w:tblGrid>
      <w:tr>
        <w:tc>
          <w:tcPr>
            <w:tcW w:type="dxa" w:w="10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Населенный пункт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 по Баткенской области 151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Баткенский район (48)</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г.Баткен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г.Баткен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Дара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Жаны-Жер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Тунук-Суу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Сары-Талаа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Жанырык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Табылга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Коргон-Таш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Кайынды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Кыштут</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Таян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Согмент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Кыштут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Чарбак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Ак-Сай</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Кок-Таш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Таштумшук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Капчыгай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Ак-Татыр</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Ак-Татыр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Рават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Ортобоз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Чет-Кызыл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Кызыл-Бел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Бай Кара-Бак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Зардалы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Карабулак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Бужум</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Суу-Башы</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Боз-Адыр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Кара-Токой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Апкан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Божой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Айгул-Таш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Самаркандек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Самаркандек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Джаны-Бак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Паскы-Арык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Мин-Орук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Торт-Гул</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Чон-Талаа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Чон-Гара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Зар-Таш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Ак-Турпак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Ак-Оток</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Лейлекский район (54)</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Сулюкта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г.Сулюкта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Кош 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Кольцо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Боконбаев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Кенчи</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г.Раззаков</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Мырза-Патча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Самат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Чимген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Тайлан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Голбо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г.Раззаков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Кулунду</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Интернационал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Кулунду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им.Раззаков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Акарык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Булак-Башы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Максат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Бешкент</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Андархам</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Бешкент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Лайлы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Кайрагач</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Эски-Оочу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Маргун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Дархум</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Даргаз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Маргун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Чурбек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Жаны-Жер</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Борбордук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Арка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Жаштык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Достук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Сумбула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Андарак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Сумбула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Сары-Добо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Кок-Таш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Ак-Суу</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Жаркыштак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Чоюнчу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Ак-Суу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Каракамар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Жезкен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Тогуз-Булак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Айбийке</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Тогуз-Булак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Минжыгач</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Ай-Кол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Гордой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Лейлек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Чуянчы</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Коргон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Кара-Суу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Лейлек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Ак-Терек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Катран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Баул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Озгоруш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Катран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Кадамжайский район (49)</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Кызыл-Кыя</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г.Кызыл-Кыя</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Айдаркен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г.Айдаркен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Орозбеков</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с.Орозбеков</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А.Масалиев</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Лесхоз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Какыр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Ак-Турпак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Отукчу</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Кызыл-Коргон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Ак-Турпак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Калача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Чон-Кара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Алга</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Алга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Чукур-Кыштак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Адыр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с.Жаны-Чек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Кыргыз-Кыштак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Кыргыз-Кыштак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Кайтпас</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с.Бургонду ОПХ, ПМК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Халмион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Ынтымак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Кок-Тал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Чекелик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Жошук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Жаны-Айыл</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Ирилеш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Гулдурмо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Ноогардан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Халмион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с.Таш-Добо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Бирлик</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Чечме</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Сырт</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Ынтымак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рм</w:t>
            </w:r>
            <w:r>
              <w:rPr>
                <w:rFonts w:ascii="Arial" w:cs="Arial" w:eastAsia="Arial" w:hAnsi="Arial"/>
                <w:sz w:val="24"/>
                <w:szCs w:val="24"/>
              </w:rPr>
              <w:t xml:space="preserve">ө</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Ак-Кыя</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Кара-Шоро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Марказ</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с.Марказ</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с.Пылдырак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с.Маяк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с.Достук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с.Арпа-Сай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Пульгон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с.Пульгон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Кара-Добо</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Уч-Коргон</w:t>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с.Токой</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с.Жаны-Жер</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с.Жетиген</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с.Бургонду ПМК</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Ак-Орго</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Жениш</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Баймаала</w:t>
            </w:r>
          </w:p>
        </w:tc>
      </w:tr>
      <w:tr>
        <w:tc>
          <w:tcPr>
            <w:tcW w:type="dxa" w:w="100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Курулуш</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проекту "Льготное финансирование Баткенской области - 2"</w:t>
      </w:r>
    </w:p>
    <w:p>
      <w:pPr>
        <w:spacing w:after="400" w:before="400"/>
        <w:jc w:val="center"/>
      </w:pPr>
      <w:r>
        <w:rPr>
          <w:rFonts w:ascii="Arial" w:cs="Arial" w:eastAsia="Arial" w:hAnsi="Arial"/>
          <w:b/>
          <w:bCs/>
          <w:sz w:val="28"/>
          <w:szCs w:val="28"/>
        </w:rPr>
        <w:t xml:space="preserve">Целевые направления льготного кредитования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2941"/>
        <w:gridCol w:w="1574"/>
        <w:gridCol w:w="1014"/>
        <w:gridCol w:w="2072"/>
        <w:gridCol w:w="2135"/>
      </w:tblGrid>
      <w:tr>
        <w:tc>
          <w:tcPr>
            <w:tcW w:type="dxa" w:w="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Целевая отрасль</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Конечная процентная ставка</w:t>
            </w:r>
          </w:p>
        </w:tc>
        <w:tc>
          <w:tcPr>
            <w:tcW w:type="dxa" w:w="10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кредита</w:t>
            </w:r>
          </w:p>
        </w:tc>
        <w:tc>
          <w:tcPr>
            <w:tcW w:type="dxa" w:w="20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Льготный период</w:t>
            </w:r>
          </w:p>
        </w:tc>
        <w:tc>
          <w:tcPr>
            <w:tcW w:type="dxa" w:w="2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выдаваемого кредита</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переработка сельскохозяйственной продукции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залоговым обеспечением (в виде движимого и недвижимого имущества), с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Туризм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Экспортоориентированные и импортозамещающие предприятия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Торговологистические центры и овощные хранилища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Инновационная деятельность (создание новых предприятий или новых направлений деятельности)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всей суммы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защитных медицинских средств и средств индивидуальной защиты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Торговля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5000000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Сфера образования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1500000 сомов с обеспечением (в виде движимого и недвижимого имущества), возможностью использования гарантий ОАО "Гарантийный фонд" в размере 50%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9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Информационные технологии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Первые 3 года - 0%;</w:t>
            </w:r>
          </w:p>
          <w:p>
            <w:pPr>
              <w:jc w:val="left"/>
            </w:pPr>
            <w:r>
              <w:rPr>
                <w:rFonts w:ascii="Arial" w:cs="Arial" w:eastAsia="Arial" w:hAnsi="Arial"/>
                <w:sz w:val="24"/>
                <w:szCs w:val="24"/>
              </w:rPr>
              <w:t xml:space="preserve">последующие 2 года - 3% годовых</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лет</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Субсидирование процентных платежей - 3 года, частичное субсидирование процентных платежей - 2 года.</w:t>
            </w:r>
          </w:p>
          <w:p>
            <w:pPr>
              <w:jc w:val="left"/>
            </w:pPr>
            <w:r>
              <w:rPr>
                <w:rFonts w:ascii="Arial" w:cs="Arial" w:eastAsia="Arial" w:hAnsi="Arial"/>
                <w:sz w:val="24"/>
                <w:szCs w:val="24"/>
              </w:rPr>
              <w:t xml:space="preserve">2. Погашение равными долями без предоставления льготного периода в случае кредитования.</w:t>
            </w:r>
          </w:p>
          <w:p>
            <w:pPr>
              <w:jc w:val="left"/>
            </w:pPr>
            <w:r>
              <w:rPr>
                <w:rFonts w:ascii="Arial" w:cs="Arial" w:eastAsia="Arial" w:hAnsi="Arial"/>
                <w:sz w:val="24"/>
                <w:szCs w:val="24"/>
              </w:rPr>
              <w:t xml:space="preserve">3. Льготный период по выплате основной суммы до 12 месяцев при кредитовании</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Беззалогового обеспечения до 300000 сомов.</w:t>
            </w:r>
          </w:p>
          <w:p>
            <w:pPr>
              <w:jc w:val="left"/>
            </w:pPr>
            <w:r>
              <w:rPr>
                <w:rFonts w:ascii="Arial" w:cs="Arial" w:eastAsia="Arial" w:hAnsi="Arial"/>
                <w:sz w:val="24"/>
                <w:szCs w:val="24"/>
              </w:rPr>
              <w:t xml:space="preserve">2. Свыше 300000 сомов до 10000000 сомов с обеспечением (в виде движимого и недвижимого имущества), возможностью использования гарантий ОАО "Гарантийный фонд" в размере 50%</w:t>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j1xolwqd8hvhs8dubtgs">
      <w:r>
        <w:rPr>
          <w:rFonts w:ascii="Arial" w:cs="Arial" w:eastAsia="Arial" w:hAnsi="Arial"/>
          <w:color w:val="132D3F"/>
          <w:sz w:val="16"/>
          <w:szCs w:val="16"/>
          <w:u w:val="single"/>
        </w:rPr>
        <w:t xml:space="preserve">dalil.kg/document/213737</w:t>
      </w:r>
    </w:hyperlink>
  </w:p>
  <w:p>
    <w:pPr>
      <w:spacing w:after="0" w:before="40"/>
      <w:jc w:val="center"/>
    </w:pPr>
    <w:hyperlink w:history="1" r:id="rIdwiadwjrqwpj4fu3inlf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as3si3hogmiq0oochhr" Type="http://schemas.openxmlformats.org/officeDocument/2006/relationships/hyperlink" Target="https://dalil.kg/document/111338#st_22" TargetMode="External"/><Relationship Id="rIdxaiwjq9fqkksy2-d9hpc6" Type="http://schemas.openxmlformats.org/officeDocument/2006/relationships/hyperlink" Target="https://dalil.kg/document/111338#st_115" TargetMode="External"/><Relationship Id="rIdipm7j7lgq8u5lbn_xm2qs" Type="http://schemas.openxmlformats.org/officeDocument/2006/relationships/hyperlink" Target="https://dalil.kg/document/112298#st_4" TargetMode="External"/><Relationship Id="rId6jkbzi7kptwaf1ag5ahvz" Type="http://schemas.openxmlformats.org/officeDocument/2006/relationships/hyperlink" Target="https://dalil.kg/document/112301#st_13" TargetMode="External"/><Relationship Id="rIdztzb1j5madwxaeewj_usb" Type="http://schemas.openxmlformats.org/officeDocument/2006/relationships/hyperlink" Target="https://dalil.kg/document/112301#st_17" TargetMode="External"/><Relationship Id="rIdkb5nx8eplx71rgo_toxwk" Type="http://schemas.openxmlformats.org/officeDocument/2006/relationships/hyperlink" Target="https://dalil.kg/document/213737#pr" TargetMode="External"/><Relationship Id="rId4lwxvruhgwrizlahg2qin" Type="http://schemas.openxmlformats.org/officeDocument/2006/relationships/hyperlink" Target="https://dalil.kg/document/112487" TargetMode="External"/><Relationship Id="rIdzxyjwki0eddz66ahuksc9" Type="http://schemas.openxmlformats.org/officeDocument/2006/relationships/hyperlink" Target="https://dalil.kg/document/213737#pr1" TargetMode="External"/><Relationship Id="rIdyirwwjxgwqn1llznjdx_7" Type="http://schemas.openxmlformats.org/officeDocument/2006/relationships/hyperlink" Target="https://dalil.kg/document/213737#pr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j1xolwqd8hvhs8dubtgs" Type="http://schemas.openxmlformats.org/officeDocument/2006/relationships/hyperlink" Target="https://dalil.kg/document/213737" TargetMode="External"/><Relationship Id="rIdwiadwjrqwpj4fu3inlf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2026-09-28T09:02:28.639Z</dcterms:created>
  <dcterms:modified xsi:type="dcterms:W3CDTF">2026-09-28T09:02:28.639Z</dcterms:modified>
</cp:coreProperties>
</file>

<file path=docProps/custom.xml><?xml version="1.0" encoding="utf-8"?>
<Properties xmlns="http://schemas.openxmlformats.org/officeDocument/2006/custom-properties" xmlns:vt="http://schemas.openxmlformats.org/officeDocument/2006/docPropsVTypes"/>
</file>