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февраля 2015 года № 23-р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_xfnckiqajcv_cwsuz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марта 2021 года № 61-р)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обязательства Кыргызской Республики, принятого в рамках Согласованного протокола переговоров между Кыргызской Республикой и Международной ассоциацией развития (MAP) относительно Дополнительного финансирования для Второго проекта внутрихозяйственного орошения (ПВО-2), подписанного 21 мая 2011 года, в целях дальнейшей финансовой поддержки водного сектора республики, в соответствии со статьями 10 и 17 </w:t>
      </w:r>
      <w:hyperlink w:history="1" r:id="rId4_qulvu_boxbhlpk4yl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возвращаемые ассоциациями водопользователей и их союзами в счет погашения задолженности по кредитным договорам в рамках проектов Международной ассоциации развития (MAP): «Внутрихозяйственное орошение», осуществлявшегося на основании Соглашения о кредите на цели развития (Кредит № 3369-KG) от 29 июня 2000 года; «Улучшение управления водными ресурсами», осуществлявшегося на основании Соглашения о гранте на цели развития (Грант № H-212KG) от 21 июня 2006 года; «Второй проект Внутрихозяйственного орошения», осуществлявшегося на основании Соглашения о финансировании (Грант № H312-KG) от 29 августа 2007 года; «Дополнительное финансирование для Второго проекта внутрихозяйственное орошение», осуществляемого на основании Соглашения о финансировании (Грант № H718-KG и Кредит № 4982-KG) от 25 июля 2011 года, </w:t>
      </w:r>
      <w:r>
        <w:rPr>
          <w:rFonts w:ascii="Arial" w:cs="Arial" w:eastAsia="Arial" w:hAnsi="Arial"/>
          <w:sz w:val="24"/>
          <w:szCs w:val="24"/>
        </w:rPr>
        <w:t xml:space="preserve">«Улучшение сельскохозяйственной производительности и питания», осуществляемого на основании Грантового соглашения (Грант № </w:t>
      </w:r>
      <w:r>
        <w:rPr>
          <w:rFonts w:ascii="Arial" w:cs="Arial" w:eastAsia="Arial" w:hAnsi="Arial"/>
          <w:sz w:val="24"/>
          <w:szCs w:val="24"/>
        </w:rPr>
        <w:t xml:space="preserve">TF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0645-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) от 18 марта 2016 года». </w:t>
      </w:r>
      <w:r>
        <w:rPr>
          <w:rFonts w:ascii="Arial" w:cs="Arial" w:eastAsia="Arial" w:hAnsi="Arial"/>
          <w:sz w:val="24"/>
          <w:szCs w:val="24"/>
        </w:rPr>
        <w:t xml:space="preserve">подлежат перечислению на счет Центрального казначейства Министерства финансов Кыргызской Республики в Национальном банке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аккумулированные в Национальном банке Кыргызской Республики, подлежат дальнейшему использованию в водном секторе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открыть счет Центрального казначейства Министерства финансов Кыргызской Республики в Национальном банке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агропромышленного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wp-tbhbrq7sftcdbs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dalil.kg/document/214293</w:t>
      </w:r>
    </w:hyperlink>
  </w:p>
  <w:p>
    <w:pPr>
      <w:spacing w:after="0" w:before="40"/>
      <w:jc w:val="center"/>
    </w:pPr>
    <w:hyperlink w:history="1" r:id="rIdofdt9mye6eft--mzmju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xfnckiqajcv_cwsuzc9" Type="http://schemas.openxmlformats.org/officeDocument/2006/relationships/hyperlink" Target="https://dalil.kg/document/218462" TargetMode="External"/><Relationship Id="rId4_qulvu_boxbhlpk4ylc4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wp-tbhbrq7sftcdbspf" Type="http://schemas.openxmlformats.org/officeDocument/2006/relationships/hyperlink" Target="https://dalil.kg/document/214293" TargetMode="External"/><Relationship Id="rIdofdt9mye6eft--mzmju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2026-09-29T20:02:15.550Z</dcterms:created>
  <dcterms:modified xsi:type="dcterms:W3CDTF">2026-09-29T20:02:15.550Z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