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nvkx7kzkgrjv-q9tf01nb">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18 октября 2019 года № 398-р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23 августа 2016 года № 381-р</w:t>
      </w:r>
    </w:p>
    <w:p>
      <w:pPr>
        <w:spacing w:after="120"/>
        <w:jc w:val="both"/>
      </w:pPr>
      <w:r>
        <w:rPr>
          <w:rFonts w:ascii="Arial" w:cs="Arial" w:eastAsia="Arial" w:hAnsi="Arial"/>
          <w:sz w:val="24"/>
          <w:szCs w:val="24"/>
        </w:rPr>
        <w:t xml:space="preserve">В целях привлечения инвестиций в комплексное и рациональное освоение буроугольного месторождения "Сулюкта - поле 11", в соответствии со статьей 24 Закона Кыргызской Республики "</w:t>
      </w:r>
      <w:hyperlink w:history="1" r:id="rIdolz3qnn7v7pwy55hki_fw">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статьями 10 и 17 конституционного Закона Кыргызской Республики "</w:t>
      </w:r>
      <w:hyperlink w:history="1" r:id="rIdk2esiwcorgbdi5ip4lgde">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 </w:t>
      </w:r>
      <w:hyperlink w:history="1" r:id="rIdud-mulsgz9uondtdqywhu">
        <w:r>
          <w:rPr>
            <w:rFonts w:ascii="Arial" w:cs="Arial" w:eastAsia="Arial" w:hAnsi="Arial"/>
            <w:color w:val="1D4ED8"/>
            <w:sz w:val="24"/>
            <w:szCs w:val="24"/>
            <w:u w:val="single"/>
          </w:rPr>
          <w:t xml:space="preserve">условия и порядок</w:t>
        </w:r>
      </w:hyperlink>
      <w:r>
        <w:rPr>
          <w:rFonts w:ascii="Arial" w:cs="Arial" w:eastAsia="Arial" w:hAnsi="Arial"/>
          <w:sz w:val="24"/>
          <w:szCs w:val="24"/>
        </w:rPr>
        <w:t xml:space="preserve"> проведения конкурса на право пользования недрами с целью разработки буроугольного месторождения "Сулюкта - поле 11" и критерии определения победителя согласно приложению.</w:t>
      </w:r>
    </w:p>
    <w:p>
      <w:pPr>
        <w:spacing w:after="120"/>
        <w:jc w:val="both"/>
      </w:pPr>
      <w:r>
        <w:rPr>
          <w:rFonts w:ascii="Arial" w:cs="Arial" w:eastAsia="Arial" w:hAnsi="Arial"/>
          <w:sz w:val="24"/>
          <w:szCs w:val="24"/>
        </w:rPr>
        <w:t xml:space="preserve">2. Государственному комитету промышленности, энергетики и недропользования Кыргызской Республики определить дату проведения конкурса и опубликовать в средствах массовой информации объявление о проведении конкурса на получение права пользования недрами с целью разработки буроугольного месторождения "Сулюкта - поле 11".</w:t>
      </w:r>
    </w:p>
    <w:p>
      <w:pPr>
        <w:spacing w:after="120"/>
        <w:jc w:val="both"/>
      </w:pPr>
      <w:r>
        <w:rPr>
          <w:rFonts w:ascii="Arial" w:cs="Arial" w:eastAsia="Arial" w:hAnsi="Arial"/>
          <w:sz w:val="24"/>
          <w:szCs w:val="24"/>
        </w:rPr>
        <w:t xml:space="preserve">3. Межведомственной конкурсной комиссии, образованной </w:t>
      </w:r>
      <w:hyperlink w:history="1" r:id="rIdjozli0dajqsp56qcoru7z">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 марта 2016 года № 78-р, в установленном порядке провести конкурс на право пользования недрами с целью разработки буроугольного месторождения "Сулюкта - поле 11".</w:t>
      </w:r>
    </w:p>
    <w:p>
      <w:pPr>
        <w:spacing w:after="120"/>
        <w:jc w:val="both"/>
      </w:pPr>
      <w:r>
        <w:rPr>
          <w:rFonts w:ascii="Arial" w:cs="Arial" w:eastAsia="Arial" w:hAnsi="Arial"/>
          <w:sz w:val="24"/>
          <w:szCs w:val="24"/>
        </w:rPr>
        <w:t xml:space="preserve">4. Контроль за исполнением настоящего распоряжения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И ПОРЯДОК
 проведения конкурса на право пользования недрами с целью разработки буроугольного месторождения "Сулюкта - поле 11" и критерии определения победителя</w:t>
      </w:r>
    </w:p>
    <w:p>
      <w:pPr>
        <w:spacing w:after="240" w:before="200"/>
        <w:jc w:val="center"/>
      </w:pPr>
      <w:r>
        <w:rPr>
          <w:rFonts w:ascii="Arial" w:cs="Arial" w:eastAsia="Arial" w:hAnsi="Arial"/>
          <w:b/>
          <w:bCs/>
          <w:sz w:val="32"/>
          <w:szCs w:val="32"/>
        </w:rPr>
        <w:t xml:space="preserve">1. Основание и цели проведения конкурса</w:t>
      </w:r>
    </w:p>
    <w:p>
      <w:pPr>
        <w:spacing w:after="120"/>
        <w:jc w:val="both"/>
      </w:pPr>
      <w:r>
        <w:rPr>
          <w:rFonts w:ascii="Arial" w:cs="Arial" w:eastAsia="Arial" w:hAnsi="Arial"/>
          <w:sz w:val="24"/>
          <w:szCs w:val="24"/>
        </w:rPr>
        <w:t xml:space="preserve">1. Конкурс на право пользования недрами буроугольного месторождения "Сулюкта - поле 11", являющегося объектом общегосударственного значения, проводится в соответствии с настоящими условиями и порядком проведения конкурса на право пользования недрами с целью разработки буроугольного месторождения "Сулюкта - поле 11" (далее - Условия), разработанными в соответствии с требованиями Закона Кыргызской Республики "</w:t>
      </w:r>
      <w:hyperlink w:history="1" r:id="rIdiuoff-wn1wlgvejurf7qu">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w:t>
      </w:r>
      <w:hyperlink w:history="1" r:id="rIdnct3ms0gca5_977cmzuf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утвержденным </w:t>
      </w:r>
      <w:hyperlink w:history="1" r:id="rIdx2vbxfge0fteusaggiq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 834.</w:t>
      </w:r>
    </w:p>
    <w:p>
      <w:pPr>
        <w:spacing w:after="120"/>
        <w:jc w:val="both"/>
      </w:pPr>
      <w:r>
        <w:rPr>
          <w:rFonts w:ascii="Arial" w:cs="Arial" w:eastAsia="Arial" w:hAnsi="Arial"/>
          <w:sz w:val="24"/>
          <w:szCs w:val="24"/>
        </w:rPr>
        <w:t xml:space="preserve">2. Конкурс на право пользования недрами буроугольного месторождения "Сулюкта - поле 11" проводится с целью выявления победителя, предложившего наиболее выгодные условия для Кыргызской Республики, при реализации комплексного проекта по разработке буроугольного месторождения "Сулюкта - поле 11" и строительству тепловой электрической станции (далее - Комплексный проект).</w:t>
      </w:r>
    </w:p>
    <w:p>
      <w:pPr>
        <w:spacing w:after="120"/>
        <w:jc w:val="both"/>
      </w:pPr>
      <w:r>
        <w:rPr>
          <w:rFonts w:ascii="Arial" w:cs="Arial" w:eastAsia="Arial" w:hAnsi="Arial"/>
          <w:sz w:val="24"/>
          <w:szCs w:val="24"/>
        </w:rPr>
        <w:t xml:space="preserve">3. На конкурс выставляется право пользования недрами с целью разработки буроугольного месторождения "Сулюкта - поле 11" сроком на 20 лет, с последующим продлением до истощения запасов угля при выполнении победителем конкурса лицензионных условий, со следующими угловыми точками в прямоугольной системе координат: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1819"/>
        <w:gridCol w:w="1635"/>
        <w:gridCol w:w="1635"/>
        <w:gridCol w:w="1819"/>
        <w:gridCol w:w="1635"/>
      </w:tblGrid>
      <w:tr>
        <w:tc>
          <w:tcPr>
            <w:tcW w:type="dxa" w:w="16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точки</w:t>
            </w:r>
          </w:p>
        </w:tc>
        <w:tc>
          <w:tcPr>
            <w:tcW w:type="dxa" w:w="1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точки</w:t>
            </w:r>
          </w:p>
        </w:tc>
        <w:tc>
          <w:tcPr>
            <w:tcW w:type="dxa" w:w="1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12558369</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4424239</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12558469</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4421454</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12561543</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4424494</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12558469</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4422104</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12562049</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4422517</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12558462</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4423639</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12559924</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4421453</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настоящее время в пределах конкурсного объекта "Сулюкта - поле 11" добыча угля в небольших объемах ведется открытым акционерным обществом "Сулюкта шахта курулуш" (далее - ОАО "Сулюкта шахта курулуш").</w:t>
      </w:r>
    </w:p>
    <w:p>
      <w:pPr>
        <w:spacing w:after="120"/>
        <w:jc w:val="both"/>
      </w:pPr>
      <w:r>
        <w:rPr>
          <w:rFonts w:ascii="Arial" w:cs="Arial" w:eastAsia="Arial" w:hAnsi="Arial"/>
          <w:sz w:val="24"/>
          <w:szCs w:val="24"/>
        </w:rPr>
        <w:t xml:space="preserve">Из конкурсного объекта исключается лицензионная площадь в размере 18 га по лицензии на право пользования недрами с целью разработки № 2881 СЕ от 7 декабря 2010 года, выданной ОАО "Сулюкта шахта курулуш", со следующими координатами угловых точек: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1819"/>
        <w:gridCol w:w="1635"/>
        <w:gridCol w:w="1635"/>
        <w:gridCol w:w="1819"/>
        <w:gridCol w:w="1635"/>
      </w:tblGrid>
      <w:tr>
        <w:tc>
          <w:tcPr>
            <w:tcW w:type="dxa" w:w="16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точки</w:t>
            </w:r>
          </w:p>
        </w:tc>
        <w:tc>
          <w:tcPr>
            <w:tcW w:type="dxa" w:w="1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точки</w:t>
            </w:r>
          </w:p>
        </w:tc>
        <w:tc>
          <w:tcPr>
            <w:tcW w:type="dxa" w:w="1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12558570</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4421680</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12559425</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4421635</w:t>
            </w:r>
          </w:p>
        </w:tc>
      </w:tr>
      <w:tr>
        <w:tc>
          <w:tcPr>
            <w:tcW w:type="dxa" w:w="1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12559375</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4421875</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12558670</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4421485</w:t>
            </w:r>
          </w:p>
        </w:tc>
      </w:tr>
    </w:tbl>
    <w:p>
      <w:pPr>
        <w:spacing w:after="120"/>
        <w:jc w:val="both"/>
      </w:pPr>
      <w:r>
        <w:rPr>
          <w:rFonts w:ascii="Arial" w:cs="Arial" w:eastAsia="Arial" w:hAnsi="Arial"/>
          <w:sz w:val="24"/>
          <w:szCs w:val="24"/>
        </w:rPr>
        <w:t xml:space="preserve">Площадь конкурсного объекта, за вычетом лицензионной площади ОАО "Сулюкта шахта Курулуш", составляет 876 га.</w:t>
      </w:r>
    </w:p>
    <w:p>
      <w:pPr>
        <w:spacing w:after="120"/>
        <w:jc w:val="both"/>
      </w:pPr>
      <w:r>
        <w:rPr>
          <w:rFonts w:ascii="Arial" w:cs="Arial" w:eastAsia="Arial" w:hAnsi="Arial"/>
          <w:sz w:val="24"/>
          <w:szCs w:val="24"/>
        </w:rPr>
        <w:t xml:space="preserve">2. Общие сведения о буроугольном месторождении "Сулюкта - поле 11"</w:t>
      </w:r>
    </w:p>
    <w:p>
      <w:pPr>
        <w:spacing w:after="120"/>
        <w:jc w:val="both"/>
      </w:pPr>
      <w:r>
        <w:rPr>
          <w:rFonts w:ascii="Arial" w:cs="Arial" w:eastAsia="Arial" w:hAnsi="Arial"/>
          <w:sz w:val="24"/>
          <w:szCs w:val="24"/>
        </w:rPr>
        <w:t xml:space="preserve">4. Месторождение "Сулюкта - поле 11" находится в западной части Южно-Ферганского буроугольного бассейна, расположено в предгорьях Туркестанского хребта в междуречье Карасу-Лейлек. Протяженность месторождения составляет около 30 км вдоль южного склона хребта Бели-Сынык. В административном отношении месторождение находится на территории Лейлекского района Баткенской области.</w:t>
      </w:r>
    </w:p>
    <w:p>
      <w:pPr>
        <w:spacing w:after="120"/>
        <w:jc w:val="both"/>
      </w:pPr>
      <w:r>
        <w:rPr>
          <w:rFonts w:ascii="Arial" w:cs="Arial" w:eastAsia="Arial" w:hAnsi="Arial"/>
          <w:sz w:val="24"/>
          <w:szCs w:val="24"/>
        </w:rPr>
        <w:t xml:space="preserve">Сулюктинское буроугольное месторождение отрабатывается более 100 лет. Западная часть его практически отработана. Она включала шахтные поля № 1, 2, 3, 4, 5, 6, 7, 8 и 9. В настоящее время месторождение представлено шахтными полями № 11 и № 12 (центральная часть месторождения) и участками Кокинесай (восточная часть месторождения) и Северный.</w:t>
      </w:r>
    </w:p>
    <w:p>
      <w:pPr>
        <w:spacing w:after="120"/>
        <w:jc w:val="both"/>
      </w:pPr>
      <w:r>
        <w:rPr>
          <w:rFonts w:ascii="Arial" w:cs="Arial" w:eastAsia="Arial" w:hAnsi="Arial"/>
          <w:sz w:val="24"/>
          <w:szCs w:val="24"/>
        </w:rPr>
        <w:t xml:space="preserve">Поверхность месторождения всхолмлена и расчленена неглубокими саями, абсолютные отметки колеблются от 1175 м до 1813 м.</w:t>
      </w:r>
    </w:p>
    <w:p>
      <w:pPr>
        <w:spacing w:after="120"/>
        <w:jc w:val="both"/>
      </w:pPr>
      <w:r>
        <w:rPr>
          <w:rFonts w:ascii="Arial" w:cs="Arial" w:eastAsia="Arial" w:hAnsi="Arial"/>
          <w:sz w:val="24"/>
          <w:szCs w:val="24"/>
        </w:rPr>
        <w:t xml:space="preserve">Район экономически освоен. Непосредственно на площади месторождения расположены город Сулюкта и ряд сельских населенных пунктов. В 18 км к юго-востоку от месторождения расположен город районного значения Исфана.</w:t>
      </w:r>
    </w:p>
    <w:p>
      <w:pPr>
        <w:spacing w:after="120"/>
        <w:jc w:val="both"/>
      </w:pPr>
      <w:r>
        <w:rPr>
          <w:rFonts w:ascii="Arial" w:cs="Arial" w:eastAsia="Arial" w:hAnsi="Arial"/>
          <w:sz w:val="24"/>
          <w:szCs w:val="24"/>
        </w:rPr>
        <w:t xml:space="preserve">Угленосной на месторождении является юрская песчано-алевролито-сланцевая толща. В региональном плане структура месторождения представляет собой грабен-синклиналь, осложненную в западной части месторождения антиклинальным поднятием.</w:t>
      </w:r>
    </w:p>
    <w:p>
      <w:pPr>
        <w:spacing w:after="120"/>
        <w:jc w:val="both"/>
      </w:pPr>
      <w:r>
        <w:rPr>
          <w:rFonts w:ascii="Arial" w:cs="Arial" w:eastAsia="Arial" w:hAnsi="Arial"/>
          <w:sz w:val="24"/>
          <w:szCs w:val="24"/>
        </w:rPr>
        <w:t xml:space="preserve">Южное крыло синклинали пологое (10-15º), северное - большей частью запрокинутое, с углом падения 70-95º к северу. Месторождение многопластовое, но фактически рабочим пластом является только пласт "F", прослеживаемый на всей площади месторождения. Пласт имеет простое строение, его мощность колеблется от 1,85 до 12,4 м. Породные прослойки редки и их мощность обычно составляет 5-10 см. Угли месторождения бурые, группы 3Б, витринитовые.</w:t>
      </w:r>
    </w:p>
    <w:p>
      <w:pPr>
        <w:spacing w:after="120"/>
        <w:jc w:val="both"/>
      </w:pPr>
      <w:r>
        <w:rPr>
          <w:rFonts w:ascii="Arial" w:cs="Arial" w:eastAsia="Arial" w:hAnsi="Arial"/>
          <w:sz w:val="24"/>
          <w:szCs w:val="24"/>
        </w:rPr>
        <w:t xml:space="preserve">Качественная характеристика углей "Сулюкта - поле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3"/>
        <w:gridCol w:w="2026"/>
        <w:gridCol w:w="1303"/>
        <w:gridCol w:w="1521"/>
        <w:gridCol w:w="1399"/>
        <w:gridCol w:w="1069"/>
        <w:gridCol w:w="1537"/>
      </w:tblGrid>
      <w:tr>
        <w:tc>
          <w:tcPr>
            <w:tcW w:type="dxa" w:w="13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Шахтное поле, участок</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Влага аналитическая, %</w:t>
            </w:r>
          </w:p>
        </w:tc>
        <w:tc>
          <w:tcPr>
            <w:tcW w:type="dxa" w:w="13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Влага рабочая, %</w:t>
            </w:r>
          </w:p>
        </w:tc>
        <w:tc>
          <w:tcPr>
            <w:tcW w:type="dxa" w:w="15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Зольность, %</w:t>
            </w:r>
          </w:p>
        </w:tc>
        <w:tc>
          <w:tcPr>
            <w:tcW w:type="dxa" w:w="13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Выход летучих веществ, %</w:t>
            </w:r>
          </w:p>
        </w:tc>
        <w:tc>
          <w:tcPr>
            <w:tcW w:type="dxa" w:w="10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серы, %</w:t>
            </w:r>
          </w:p>
        </w:tc>
        <w:tc>
          <w:tcPr>
            <w:tcW w:type="dxa" w:w="15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Удельная теплота сгорания, ккал/кг</w:t>
            </w:r>
          </w:p>
        </w:tc>
      </w:tr>
      <w:tr>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Поле № 11</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29,51</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0,83</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7239</w:t>
            </w:r>
          </w:p>
        </w:tc>
      </w:tr>
    </w:tbl>
    <w:p>
      <w:pPr>
        <w:spacing w:after="120"/>
        <w:jc w:val="both"/>
      </w:pPr>
      <w:r>
        <w:rPr>
          <w:rFonts w:ascii="Arial" w:cs="Arial" w:eastAsia="Arial" w:hAnsi="Arial"/>
          <w:sz w:val="24"/>
          <w:szCs w:val="24"/>
        </w:rPr>
        <w:t xml:space="preserve">Содержание влаги </w:t>
      </w:r>
      <w:r>
        <w:rPr>
          <w:rFonts w:ascii="Arial" w:cs="Arial" w:eastAsia="Arial" w:hAnsi="Arial"/>
          <w:sz w:val="24"/>
          <w:szCs w:val="24"/>
        </w:rPr>
        <w:t xml:space="preserve">аналитической изменяется в пределах 6%-15%, наиболее характерные значения 8%-12%. Среднее содержание влаги по пластам 9,2%-11%. Содержание рабочей влаги по пробам из горных выработок 19,4%-24,2%, в среднем 21,2%.</w:t>
      </w:r>
    </w:p>
    <w:p>
      <w:pPr>
        <w:spacing w:after="120"/>
        <w:jc w:val="both"/>
      </w:pPr>
      <w:r>
        <w:rPr>
          <w:rFonts w:ascii="Arial" w:cs="Arial" w:eastAsia="Arial" w:hAnsi="Arial"/>
          <w:sz w:val="24"/>
          <w:szCs w:val="24"/>
        </w:rPr>
        <w:t xml:space="preserve">Теплота сгорания на влажное беззольное состояние угля пласта "F" колеблется от 20,1 МДж/кг, до 22,4 МДж/кг и по этому показателю уголь относится к бурому углю.</w:t>
      </w:r>
    </w:p>
    <w:p>
      <w:pPr>
        <w:spacing w:after="120"/>
        <w:jc w:val="both"/>
      </w:pPr>
      <w:r>
        <w:rPr>
          <w:rFonts w:ascii="Arial" w:cs="Arial" w:eastAsia="Arial" w:hAnsi="Arial"/>
          <w:sz w:val="24"/>
          <w:szCs w:val="24"/>
        </w:rPr>
        <w:t xml:space="preserve">По данным буровых и горнопроходческих работ на месторождении до глубины 30 метров фиксируется зона окисленных углей. В этой зоне угли имеют повышенные показатели выхода летучих веществ (от 38% до 53,8%), влаги аналитической и пониженные показатели теплоты сгорания (от 5097 ккал/кг до 5713 ккал/кг).</w:t>
      </w:r>
    </w:p>
    <w:p>
      <w:pPr>
        <w:spacing w:after="120"/>
        <w:jc w:val="both"/>
      </w:pPr>
      <w:r>
        <w:rPr>
          <w:rFonts w:ascii="Arial" w:cs="Arial" w:eastAsia="Arial" w:hAnsi="Arial"/>
          <w:sz w:val="24"/>
          <w:szCs w:val="24"/>
        </w:rPr>
        <w:t xml:space="preserve">Зола углей является среднеплавкой и по содержанию вредных примесей (MgO, SO3) непригодна как добавка при получении портландцемента.</w:t>
      </w:r>
    </w:p>
    <w:p>
      <w:pPr>
        <w:spacing w:after="120"/>
        <w:jc w:val="both"/>
      </w:pPr>
      <w:r>
        <w:rPr>
          <w:rFonts w:ascii="Arial" w:cs="Arial" w:eastAsia="Arial" w:hAnsi="Arial"/>
          <w:sz w:val="24"/>
          <w:szCs w:val="24"/>
        </w:rPr>
        <w:t xml:space="preserve">Остаточные балансовые запасы бурого угля по конкурсному объекту "Сулюкта - поле 11" за вычетом балансовых запасов угля ОАО "Сулюкта шахта курулуш" (согласно Протоколу Государственной комиссии по запасам полезных ископаемых № 503 2011 года и техническому проекту на дату утверждения по категориям A+B+C1=748,8 тыс. тонн), составляют 81951,2 тыс. тонн.</w:t>
      </w:r>
    </w:p>
    <w:p>
      <w:pPr>
        <w:spacing w:after="120"/>
        <w:jc w:val="both"/>
      </w:pPr>
      <w:r>
        <w:rPr>
          <w:rFonts w:ascii="Arial" w:cs="Arial" w:eastAsia="Arial" w:hAnsi="Arial"/>
          <w:sz w:val="24"/>
          <w:szCs w:val="24"/>
        </w:rPr>
        <w:t xml:space="preserve">3. Основные требования к участникам конкурса</w:t>
      </w:r>
    </w:p>
    <w:p>
      <w:pPr>
        <w:spacing w:after="120"/>
        <w:jc w:val="both"/>
      </w:pPr>
      <w:r>
        <w:rPr>
          <w:rFonts w:ascii="Arial" w:cs="Arial" w:eastAsia="Arial" w:hAnsi="Arial"/>
          <w:sz w:val="24"/>
          <w:szCs w:val="24"/>
        </w:rPr>
        <w:t xml:space="preserve">5. К участию в конкурсе допускаются:</w:t>
      </w:r>
    </w:p>
    <w:p>
      <w:pPr>
        <w:spacing w:after="120"/>
        <w:jc w:val="both"/>
      </w:pPr>
      <w:r>
        <w:rPr>
          <w:rFonts w:ascii="Arial" w:cs="Arial" w:eastAsia="Arial" w:hAnsi="Arial"/>
          <w:sz w:val="24"/>
          <w:szCs w:val="24"/>
        </w:rPr>
        <w:t xml:space="preserve">- юридические лица, зарегистрированные в Кыргызской Республике;</w:t>
      </w:r>
    </w:p>
    <w:p>
      <w:pPr>
        <w:spacing w:after="120"/>
        <w:jc w:val="both"/>
      </w:pPr>
      <w:r>
        <w:rPr>
          <w:rFonts w:ascii="Arial" w:cs="Arial" w:eastAsia="Arial" w:hAnsi="Arial"/>
          <w:sz w:val="24"/>
          <w:szCs w:val="24"/>
        </w:rPr>
        <w:t xml:space="preserve">- юридические лица, зарегистрированные в иностранном государстве (далее - иностранные юридические лица);</w:t>
      </w:r>
    </w:p>
    <w:p>
      <w:pPr>
        <w:spacing w:after="120"/>
        <w:jc w:val="both"/>
      </w:pPr>
      <w:r>
        <w:rPr>
          <w:rFonts w:ascii="Arial" w:cs="Arial" w:eastAsia="Arial" w:hAnsi="Arial"/>
          <w:sz w:val="24"/>
          <w:szCs w:val="24"/>
        </w:rPr>
        <w:t xml:space="preserve">- физические лица - граждане Кыргызской Республики, а также иностранные граждане.</w:t>
      </w:r>
    </w:p>
    <w:p>
      <w:pPr>
        <w:spacing w:after="120"/>
        <w:jc w:val="both"/>
      </w:pPr>
      <w:r>
        <w:rPr>
          <w:rFonts w:ascii="Arial" w:cs="Arial" w:eastAsia="Arial" w:hAnsi="Arial"/>
          <w:sz w:val="24"/>
          <w:szCs w:val="24"/>
        </w:rPr>
        <w:t xml:space="preserve">6. Лица, указанные в пункте 5 настоящих Условий, для допуска к участию в конкурсе должны соответствовать следующим требованиям:</w:t>
      </w:r>
    </w:p>
    <w:p>
      <w:pPr>
        <w:spacing w:after="120"/>
        <w:jc w:val="both"/>
      </w:pPr>
      <w:r>
        <w:rPr>
          <w:rFonts w:ascii="Arial" w:cs="Arial" w:eastAsia="Arial" w:hAnsi="Arial"/>
          <w:sz w:val="24"/>
          <w:szCs w:val="24"/>
        </w:rPr>
        <w:t xml:space="preserve">- иметь опыт работы в области разработки месторождений и/или в строительстве тепловой электростанции (далее - ТЭС) не менее двух лет (приоритетным является опыт работы в разработке угольных месторождений подземным способом);</w:t>
      </w:r>
    </w:p>
    <w:p>
      <w:pPr>
        <w:spacing w:after="120"/>
        <w:jc w:val="both"/>
      </w:pPr>
      <w:r>
        <w:rPr>
          <w:rFonts w:ascii="Arial" w:cs="Arial" w:eastAsia="Arial" w:hAnsi="Arial"/>
          <w:sz w:val="24"/>
          <w:szCs w:val="24"/>
        </w:rPr>
        <w:t xml:space="preserve">- иметь опыт применения современных технологий добычи угля (Применение современных технологий подразумевает механизированный, буровзрывной или гидравлический способы извлечению угля при подземном способе разработки угольных месторождений);</w:t>
      </w:r>
    </w:p>
    <w:p>
      <w:pPr>
        <w:spacing w:after="120"/>
        <w:jc w:val="both"/>
      </w:pPr>
      <w:r>
        <w:rPr>
          <w:rFonts w:ascii="Arial" w:cs="Arial" w:eastAsia="Arial" w:hAnsi="Arial"/>
          <w:sz w:val="24"/>
          <w:szCs w:val="24"/>
        </w:rPr>
        <w:t xml:space="preserve">- иметь собственные средства и/или возможность привлечения дополнительного финансирования, необходимого для ведения разработки буроугольного месторождения "Сулюкта - поле 11".</w:t>
      </w:r>
    </w:p>
    <w:p>
      <w:pPr>
        <w:spacing w:after="120"/>
        <w:jc w:val="both"/>
      </w:pPr>
      <w:r>
        <w:rPr>
          <w:rFonts w:ascii="Arial" w:cs="Arial" w:eastAsia="Arial" w:hAnsi="Arial"/>
          <w:sz w:val="24"/>
          <w:szCs w:val="24"/>
        </w:rPr>
        <w:t xml:space="preserve">Указанные лица должны соблюдать в своей деятельности нормативные правовые акты Кыргызской Республики и вступившие в установленном законом порядке в силу международные договоры, участницей которых является Кыргызская Республика, в области промышленной и экологической безопасности, охраны недр и рационального использования недр.</w:t>
      </w:r>
    </w:p>
    <w:p>
      <w:pPr>
        <w:spacing w:after="120"/>
        <w:jc w:val="both"/>
      </w:pPr>
      <w:r>
        <w:rPr>
          <w:rFonts w:ascii="Arial" w:cs="Arial" w:eastAsia="Arial" w:hAnsi="Arial"/>
          <w:sz w:val="24"/>
          <w:szCs w:val="24"/>
        </w:rPr>
        <w:t xml:space="preserve">К участию в конкурсе не допускаются юридические и физические лица, нарушившие нормативные правовые акты Кыргызской Республики в сфере недропользования, а также за уклонение от уплаты налоговых платежей или страховых взносов, неисполнение требований норм экологической и технической безопасности.</w:t>
      </w:r>
    </w:p>
    <w:p>
      <w:pPr>
        <w:spacing w:after="120"/>
        <w:jc w:val="both"/>
      </w:pPr>
      <w:r>
        <w:rPr>
          <w:rFonts w:ascii="Arial" w:cs="Arial" w:eastAsia="Arial" w:hAnsi="Arial"/>
          <w:sz w:val="24"/>
          <w:szCs w:val="24"/>
        </w:rPr>
        <w:t xml:space="preserve">7. Участники конкурса вправе представить на рассмотрение конкурсной комиссии дополнительную информацию и документы об уровне квалификации сотрудников, производственных, финансовых и иных возможностях, необходимых для получения права пользования недрами с целью разработки буроугольного месторождения "Сулюкта - поле 11".</w:t>
      </w:r>
    </w:p>
    <w:p>
      <w:pPr>
        <w:spacing w:after="120"/>
        <w:jc w:val="both"/>
      </w:pPr>
      <w:r>
        <w:rPr>
          <w:rFonts w:ascii="Arial" w:cs="Arial" w:eastAsia="Arial" w:hAnsi="Arial"/>
          <w:sz w:val="24"/>
          <w:szCs w:val="24"/>
        </w:rPr>
        <w:t xml:space="preserve">4. Основные условия реализации Комплексного проекта</w:t>
      </w:r>
    </w:p>
    <w:p>
      <w:pPr>
        <w:spacing w:after="120"/>
        <w:jc w:val="both"/>
      </w:pPr>
      <w:r>
        <w:rPr>
          <w:rFonts w:ascii="Arial" w:cs="Arial" w:eastAsia="Arial" w:hAnsi="Arial"/>
          <w:sz w:val="24"/>
          <w:szCs w:val="24"/>
        </w:rPr>
        <w:t xml:space="preserve">8. Основными условиями реализации Комплексного проекта является выполнение лицом, признанным победителем конкурса и получившим лицензию на право пользования недрами с целью разработки буроугольного месторождения "Сулюкта - поле 11" и строительства ТЭС мощностью 200 МВт, следующих обязательств:</w:t>
      </w:r>
    </w:p>
    <w:p>
      <w:pPr>
        <w:spacing w:after="120"/>
        <w:jc w:val="both"/>
      </w:pPr>
      <w:r>
        <w:rPr>
          <w:rFonts w:ascii="Arial" w:cs="Arial" w:eastAsia="Arial" w:hAnsi="Arial"/>
          <w:sz w:val="24"/>
          <w:szCs w:val="24"/>
        </w:rPr>
        <w:t xml:space="preserve">1) оплата цены за право пользования недрами объекта конкурса в размере, указанном в соответствующей заявке на участие в конкурсе, но не менее 564400000 (пятьсот шестьдесят четыре миллиона четыреста тысяч) сомов (далее - цена за право пользования недрами объекта конкурса);</w:t>
      </w:r>
    </w:p>
    <w:p>
      <w:pPr>
        <w:spacing w:after="120"/>
        <w:jc w:val="both"/>
      </w:pPr>
      <w:r>
        <w:rPr>
          <w:rFonts w:ascii="Arial" w:cs="Arial" w:eastAsia="Arial" w:hAnsi="Arial"/>
          <w:sz w:val="24"/>
          <w:szCs w:val="24"/>
        </w:rPr>
        <w:t xml:space="preserve">2) подготовка и согласование с Государственным комитетом промышленности, энергетики и недропользования Кыргызской Республики (далее - Комитет) и Государственным агентством охраны окружающей среды и лесного хозяйства при Правительстве Кыргызской Республики (далее - ГАООСиЛХ) технико-экономических обоснований (далее - ТЭО), оценки воздействия на окружающую среду (далее - ОВОС), технического проекта и Программы работ по реализации Комплексного проекта не позднее одного года со дня получения лицензии. В случае нарушения сроков согласования с Комитетом и ГАООСиЛХ технического проекта, ТЭО, в том числе ОВОС по Комплексному проекту, победитель конкурса обязан выплатить штраф в размере 1000000 (один миллион) сомов (70% - в республиканский бюджет, 15% - в фонд развития Баткенской области и 15% - в фонд развития Лейлекского района) за каждый полный месяц нарушения сроков согласования;</w:t>
      </w:r>
    </w:p>
    <w:p>
      <w:pPr>
        <w:spacing w:after="120"/>
        <w:jc w:val="both"/>
      </w:pPr>
      <w:r>
        <w:rPr>
          <w:rFonts w:ascii="Arial" w:cs="Arial" w:eastAsia="Arial" w:hAnsi="Arial"/>
          <w:sz w:val="24"/>
          <w:szCs w:val="24"/>
        </w:rPr>
        <w:t xml:space="preserve">3) соблюдение требований нормативных правовых актов Кыргызской Республики в области промышленной и экологической безопасности, охраны и рационального использования недр, а также норм законов Кыргызской Республики "</w:t>
      </w:r>
      <w:hyperlink w:history="1" r:id="rIdvbrpycjwmj97fferfjnv9">
        <w:r>
          <w:rPr>
            <w:rFonts w:ascii="Arial" w:cs="Arial" w:eastAsia="Arial" w:hAnsi="Arial"/>
            <w:color w:val="1D4ED8"/>
            <w:sz w:val="24"/>
            <w:szCs w:val="24"/>
            <w:u w:val="single"/>
          </w:rPr>
          <w:t xml:space="preserve">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w:t>
        </w:r>
      </w:hyperlink>
      <w:r>
        <w:rPr>
          <w:rFonts w:ascii="Arial" w:cs="Arial" w:eastAsia="Arial" w:hAnsi="Arial"/>
          <w:sz w:val="24"/>
          <w:szCs w:val="24"/>
        </w:rPr>
        <w:t xml:space="preserve">", "</w:t>
      </w:r>
      <w:hyperlink w:history="1" r:id="rIdh-twx2y0fd1zoy8xnxizq">
        <w:r>
          <w:rPr>
            <w:rFonts w:ascii="Arial" w:cs="Arial" w:eastAsia="Arial" w:hAnsi="Arial"/>
            <w:color w:val="1D4ED8"/>
            <w:sz w:val="24"/>
            <w:szCs w:val="24"/>
            <w:u w:val="single"/>
          </w:rPr>
          <w:t xml:space="preserve">Об обязательном страховании гражданской ответственности перевозчика опасных грузов</w:t>
        </w:r>
      </w:hyperlink>
      <w:r>
        <w:rPr>
          <w:rFonts w:ascii="Arial" w:cs="Arial" w:eastAsia="Arial" w:hAnsi="Arial"/>
          <w:sz w:val="24"/>
          <w:szCs w:val="24"/>
        </w:rPr>
        <w:t xml:space="preserve">", "</w:t>
      </w:r>
      <w:hyperlink w:history="1" r:id="rIdove6pmd4fnlcja4prwsbg">
        <w:r>
          <w:rPr>
            <w:rFonts w:ascii="Arial" w:cs="Arial" w:eastAsia="Arial" w:hAnsi="Arial"/>
            <w:color w:val="1D4ED8"/>
            <w:sz w:val="24"/>
            <w:szCs w:val="24"/>
            <w:u w:val="single"/>
          </w:rPr>
          <w:t xml:space="preserve">Об обязательном страховании гражданской ответственности организаций, эксплуатирующих опасные производственные объекты</w:t>
        </w:r>
      </w:hyperlink>
      <w:r>
        <w:rPr>
          <w:rFonts w:ascii="Arial" w:cs="Arial" w:eastAsia="Arial" w:hAnsi="Arial"/>
          <w:sz w:val="24"/>
          <w:szCs w:val="24"/>
        </w:rPr>
        <w:t xml:space="preserve">", "</w:t>
      </w:r>
      <w:hyperlink w:history="1" r:id="rIdjgk4bx-oxhvk9nfod4-ag">
        <w:r>
          <w:rPr>
            <w:rFonts w:ascii="Arial" w:cs="Arial" w:eastAsia="Arial" w:hAnsi="Arial"/>
            <w:color w:val="1D4ED8"/>
            <w:sz w:val="24"/>
            <w:szCs w:val="24"/>
            <w:u w:val="single"/>
          </w:rPr>
          <w:t xml:space="preserve">Об обязательном страховании гражданской ответственности перевозчика перед пассажирами</w:t>
        </w:r>
      </w:hyperlink>
      <w:r>
        <w:rPr>
          <w:rFonts w:ascii="Arial" w:cs="Arial" w:eastAsia="Arial" w:hAnsi="Arial"/>
          <w:sz w:val="24"/>
          <w:szCs w:val="24"/>
        </w:rPr>
        <w:t xml:space="preserve">", "</w:t>
      </w:r>
      <w:hyperlink w:history="1" r:id="rIdzxk43wbd1su5a1cfvs52v">
        <w:r>
          <w:rPr>
            <w:rFonts w:ascii="Arial" w:cs="Arial" w:eastAsia="Arial" w:hAnsi="Arial"/>
            <w:color w:val="1D4ED8"/>
            <w:sz w:val="24"/>
            <w:szCs w:val="24"/>
            <w:u w:val="single"/>
          </w:rPr>
          <w:t xml:space="preserve">Об обязательном страховании гражданско-правовой ответственности владельцев автотранспортных средств</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начало строительства ТЭС не позднее трех месяцев с даты согласования с Комитетом и ГАООСиЛХ ТЭО, ОВОС и технического проекта ТЭС. В случае нарушения сроков начала строительства победитель конкурса обязан выплачивать штраф в размере 1000000 (один миллион) сомов (70% - в республиканский бюджет, 15% - в фонд развития Баткенской области и 15% - в фонд развития Лейлекского района) за каждый полный месяц нарушения сроков начала строительства, за исключением форс-мажорных обстоятельств, определенных Законом Кыргызской Республики "</w:t>
      </w:r>
      <w:hyperlink w:history="1" r:id="rIdfjwgmlm2ji-7nw8o3-oo-">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обеспечение ввода в эксплуатацию ТЭС в срок, заявленный победителем конкурса. В случае нарушения заявленного срока ввода в эксплуатацию победитель конкурса обязан выплачивать штраф в размере 1000000 (один миллион) сомов (70% - в республиканский бюджет, 15% - в фонд развития Баткенской области и 15% - в фонд развития Лейлекского района) за каждый полный месяц нарушения срока ввода в эксплуатацию ТЭС, за исключением форс-мажорных обстоятельств, определенных Законом Кыргызской Республики "</w:t>
      </w:r>
      <w:hyperlink w:history="1" r:id="rIddtrorvebt9ng4qcr2kuc_">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обеспечение преимущественного вложения прямых инвестиций согласно Программе работ по реализации Комплексного проекта;</w:t>
      </w:r>
    </w:p>
    <w:p>
      <w:pPr>
        <w:spacing w:after="120"/>
        <w:jc w:val="both"/>
      </w:pPr>
      <w:r>
        <w:rPr>
          <w:rFonts w:ascii="Arial" w:cs="Arial" w:eastAsia="Arial" w:hAnsi="Arial"/>
          <w:sz w:val="24"/>
          <w:szCs w:val="24"/>
        </w:rPr>
        <w:t xml:space="preserve">7) включение в Программу работ по реализации Комплексного проекта условия по инвестированию в социально-экономическое развитие местного сообщества на сумму не менее 30000000 (тридцать миллионов) сомов ежегодно.</w:t>
      </w:r>
    </w:p>
    <w:p>
      <w:pPr>
        <w:spacing w:after="120"/>
        <w:jc w:val="both"/>
      </w:pPr>
      <w:r>
        <w:rPr>
          <w:rFonts w:ascii="Arial" w:cs="Arial" w:eastAsia="Arial" w:hAnsi="Arial"/>
          <w:sz w:val="24"/>
          <w:szCs w:val="24"/>
        </w:rPr>
        <w:t xml:space="preserve">Представление в Комитет на стадии составления технического проекта Соглашения (социальный пакет), заключенного с соответствующим исполнительным органом административно-территориальной единицы Лейлекского района Баткенской области Кыргызской Республики и разработанного на основе программы социально-экономического развития, указанной административно-территориальной единицы;</w:t>
      </w:r>
    </w:p>
    <w:p>
      <w:pPr>
        <w:spacing w:after="120"/>
        <w:jc w:val="both"/>
      </w:pPr>
      <w:r>
        <w:rPr>
          <w:rFonts w:ascii="Arial" w:cs="Arial" w:eastAsia="Arial" w:hAnsi="Arial"/>
          <w:sz w:val="24"/>
          <w:szCs w:val="24"/>
        </w:rPr>
        <w:t xml:space="preserve">8) привлечение специалистов на время строительства производственного комплекса и до ввода его в эксплуатацию не более 30% иностранных и 70% отечественных специалистов, а после ввода в действие производственного комплекса - не более 10% иностранных и 90% отечественных специалистов от общего количества сотрудников лицензиата, с учетом подрядных и субподрядных организаций;</w:t>
      </w:r>
    </w:p>
    <w:p>
      <w:pPr>
        <w:spacing w:after="120"/>
        <w:jc w:val="both"/>
      </w:pPr>
      <w:r>
        <w:rPr>
          <w:rFonts w:ascii="Arial" w:cs="Arial" w:eastAsia="Arial" w:hAnsi="Arial"/>
          <w:sz w:val="24"/>
          <w:szCs w:val="24"/>
        </w:rPr>
        <w:t xml:space="preserve">9) осуществление закупок всех товаров (товарно-материальные ценности, сельскохозяйственная продукция), работ и услуг на территории Кыргызской Республики, необходимых для обеспечения деятельности лицензиата, за исключением закупок товаров, работ и услуг, которые в Кыргызской Республике не производятся, не выполняются и не оказываются, а также стоят дороже, чем в других странах. При этом при равных условиях преимущественно осуществлять закупку товаров, работ и услуг, производимых на территории Баткенской области;</w:t>
      </w:r>
    </w:p>
    <w:p>
      <w:pPr>
        <w:spacing w:after="120"/>
        <w:jc w:val="both"/>
      </w:pPr>
      <w:r>
        <w:rPr>
          <w:rFonts w:ascii="Arial" w:cs="Arial" w:eastAsia="Arial" w:hAnsi="Arial"/>
          <w:sz w:val="24"/>
          <w:szCs w:val="24"/>
        </w:rPr>
        <w:t xml:space="preserve">10) реализация строительства и сдача производственного комплекса, а также инфраструктурных объектов в сроки, указанные в техническом проекте;</w:t>
      </w:r>
    </w:p>
    <w:p>
      <w:pPr>
        <w:spacing w:after="120"/>
        <w:jc w:val="both"/>
      </w:pPr>
      <w:r>
        <w:rPr>
          <w:rFonts w:ascii="Arial" w:cs="Arial" w:eastAsia="Arial" w:hAnsi="Arial"/>
          <w:sz w:val="24"/>
          <w:szCs w:val="24"/>
        </w:rPr>
        <w:t xml:space="preserve">11) проведение работ по рекультивации земель.</w:t>
      </w:r>
    </w:p>
    <w:p>
      <w:pPr>
        <w:spacing w:after="120"/>
        <w:jc w:val="both"/>
      </w:pPr>
      <w:r>
        <w:rPr>
          <w:rFonts w:ascii="Arial" w:cs="Arial" w:eastAsia="Arial" w:hAnsi="Arial"/>
          <w:sz w:val="24"/>
          <w:szCs w:val="24"/>
        </w:rPr>
        <w:t xml:space="preserve">9. Условия предоставления права пользования недрами, включая изложенные выше основные условия, закрепляются в лицензионном соглашении к лицензии, выдаваемой победителю конкурса. Невыполнение вышеназванных условий пользования недрами является основанием для применения мер административной, уголовной и иной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10. Фактом подачи заявки на участие в конкурсе участник конкурса признает вышеперечисленные основные условия пользования недрами и соглашается на их включение в лицензионное соглашение, выдаваемое победителю конкурса.</w:t>
      </w:r>
    </w:p>
    <w:p>
      <w:pPr>
        <w:spacing w:after="120"/>
        <w:jc w:val="both"/>
      </w:pPr>
      <w:r>
        <w:rPr>
          <w:rFonts w:ascii="Arial" w:cs="Arial" w:eastAsia="Arial" w:hAnsi="Arial"/>
          <w:sz w:val="24"/>
          <w:szCs w:val="24"/>
        </w:rPr>
        <w:t xml:space="preserve">5. Размеры, порядок и сроки внесения платы за участие в конкурсе, оплаты гарантийного взноса, цены и иных платежей</w:t>
      </w:r>
    </w:p>
    <w:p>
      <w:pPr>
        <w:spacing w:after="120"/>
        <w:jc w:val="both"/>
      </w:pPr>
      <w:r>
        <w:rPr>
          <w:rFonts w:ascii="Arial" w:cs="Arial" w:eastAsia="Arial" w:hAnsi="Arial"/>
          <w:sz w:val="24"/>
          <w:szCs w:val="24"/>
        </w:rPr>
        <w:t xml:space="preserve">11. Плата за геологическую информацию:</w:t>
      </w:r>
    </w:p>
    <w:p>
      <w:pPr>
        <w:spacing w:after="120"/>
        <w:jc w:val="both"/>
      </w:pPr>
      <w:r>
        <w:rPr>
          <w:rFonts w:ascii="Arial" w:cs="Arial" w:eastAsia="Arial" w:hAnsi="Arial"/>
          <w:sz w:val="24"/>
          <w:szCs w:val="24"/>
        </w:rPr>
        <w:t xml:space="preserve">1) Комитет предоставляет каждому заявителю геологическую информацию в порядке, предусмотренном для пользовательского уровня доступа.</w:t>
      </w:r>
    </w:p>
    <w:p>
      <w:pPr>
        <w:spacing w:after="120"/>
        <w:jc w:val="both"/>
      </w:pPr>
      <w:r>
        <w:rPr>
          <w:rFonts w:ascii="Arial" w:cs="Arial" w:eastAsia="Arial" w:hAnsi="Arial"/>
          <w:sz w:val="24"/>
          <w:szCs w:val="24"/>
        </w:rPr>
        <w:t xml:space="preserve">Для участия в конкурсе заявители обязаны приобрести указанную геологическую информацию за плату в размере 750850 (семьсот пятьдесят тысяч восемьсот пятьдесят) сомов;</w:t>
      </w:r>
    </w:p>
    <w:p>
      <w:pPr>
        <w:spacing w:after="120"/>
        <w:jc w:val="both"/>
      </w:pPr>
      <w:r>
        <w:rPr>
          <w:rFonts w:ascii="Arial" w:cs="Arial" w:eastAsia="Arial" w:hAnsi="Arial"/>
          <w:sz w:val="24"/>
          <w:szCs w:val="24"/>
        </w:rPr>
        <w:t xml:space="preserve">2) плата за геологическую информацию включается в окончательную цену за право пользования недрами объекта конкурса, и независимо от результатов рассмотрения документов и/или результатов проведения конкурса, не возвращается.</w:t>
      </w:r>
    </w:p>
    <w:p>
      <w:pPr>
        <w:spacing w:after="120"/>
        <w:jc w:val="both"/>
      </w:pPr>
      <w:r>
        <w:rPr>
          <w:rFonts w:ascii="Arial" w:cs="Arial" w:eastAsia="Arial" w:hAnsi="Arial"/>
          <w:sz w:val="24"/>
          <w:szCs w:val="24"/>
        </w:rPr>
        <w:t xml:space="preserve">3) после определения победителя конкурса ему передается полный пакет геологической информации стоимостью 2040460 (два миллиона сорок тысяч четыреста шестьдесят) сомов (с учетом стоимости геологической информации, предусмотренной для пользовательского уровня доступа). Стоимость полного пакета геологической информации включается в окончательную цену за право пользования недрами объекта конкурса;</w:t>
      </w:r>
    </w:p>
    <w:p>
      <w:pPr>
        <w:spacing w:after="120"/>
        <w:jc w:val="both"/>
      </w:pPr>
      <w:r>
        <w:rPr>
          <w:rFonts w:ascii="Arial" w:cs="Arial" w:eastAsia="Arial" w:hAnsi="Arial"/>
          <w:sz w:val="24"/>
          <w:szCs w:val="24"/>
        </w:rPr>
        <w:t xml:space="preserve">4) указанная плата поступает на специальный счет Комитета и используется в соответствии с </w:t>
      </w:r>
      <w:hyperlink w:history="1" r:id="rIdntfewiy44p_ckrhpu3mo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предоставления в пользование геологических информационных ресурсов, утвержденным </w:t>
      </w:r>
      <w:hyperlink w:history="1" r:id="rIdqfg7cajgubsdxfcnr3f_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2014 года № 144.</w:t>
      </w:r>
    </w:p>
    <w:p>
      <w:pPr>
        <w:spacing w:after="120"/>
        <w:jc w:val="both"/>
      </w:pPr>
      <w:r>
        <w:rPr>
          <w:rFonts w:ascii="Arial" w:cs="Arial" w:eastAsia="Arial" w:hAnsi="Arial"/>
          <w:sz w:val="24"/>
          <w:szCs w:val="24"/>
        </w:rPr>
        <w:t xml:space="preserve">Геологическая информация выдается заявителю после полной оплаты ее стоимости.</w:t>
      </w:r>
    </w:p>
    <w:p>
      <w:pPr>
        <w:spacing w:after="120"/>
        <w:jc w:val="both"/>
      </w:pPr>
      <w:r>
        <w:rPr>
          <w:rFonts w:ascii="Arial" w:cs="Arial" w:eastAsia="Arial" w:hAnsi="Arial"/>
          <w:sz w:val="24"/>
          <w:szCs w:val="24"/>
        </w:rPr>
        <w:t xml:space="preserve">12. Плата за участие в конкурсе.</w:t>
      </w:r>
    </w:p>
    <w:p>
      <w:pPr>
        <w:spacing w:after="120"/>
        <w:jc w:val="both"/>
      </w:pPr>
      <w:r>
        <w:rPr>
          <w:rFonts w:ascii="Arial" w:cs="Arial" w:eastAsia="Arial" w:hAnsi="Arial"/>
          <w:sz w:val="24"/>
          <w:szCs w:val="24"/>
        </w:rPr>
        <w:t xml:space="preserve">1) Участники конкурса обязаны внести на расчетный счет Комитета плату за участие в конкурсе в размере 1000000 (один миллион) сомов. Плата за участие не включается в окончательную цену за право пользования недрами объекта конкурса и, независимо от результатов рассмотрения документов и/или результатов проведения конкурса, не возвращается.</w:t>
      </w:r>
    </w:p>
    <w:p>
      <w:pPr>
        <w:spacing w:after="120"/>
        <w:jc w:val="both"/>
      </w:pPr>
      <w:r>
        <w:rPr>
          <w:rFonts w:ascii="Arial" w:cs="Arial" w:eastAsia="Arial" w:hAnsi="Arial"/>
          <w:sz w:val="24"/>
          <w:szCs w:val="24"/>
        </w:rPr>
        <w:t xml:space="preserve">13. Гарантийный взнос участника.</w:t>
      </w:r>
    </w:p>
    <w:p>
      <w:pPr>
        <w:spacing w:after="120"/>
        <w:jc w:val="both"/>
      </w:pPr>
      <w:r>
        <w:rPr>
          <w:rFonts w:ascii="Arial" w:cs="Arial" w:eastAsia="Arial" w:hAnsi="Arial"/>
          <w:sz w:val="24"/>
          <w:szCs w:val="24"/>
        </w:rPr>
        <w:t xml:space="preserve">Участники конкурса обязаны внести гарантийный взнос - 10% от минимальной стоимости объекта, который составляет 56440000 (пятьдесят шесть миллионов четыреста сорок тысяч) сомов.</w:t>
      </w:r>
    </w:p>
    <w:p>
      <w:pPr>
        <w:spacing w:after="120"/>
        <w:jc w:val="both"/>
      </w:pPr>
      <w:r>
        <w:rPr>
          <w:rFonts w:ascii="Arial" w:cs="Arial" w:eastAsia="Arial" w:hAnsi="Arial"/>
          <w:sz w:val="24"/>
          <w:szCs w:val="24"/>
        </w:rPr>
        <w:t xml:space="preserve">В случае последующей оплаты победителем конкурса цены за право пользования недрами объекта конкурса, предусмотренной пунктом 14 настоящих Условий, гарантийный взнос засчитывается в цену за право пользования недрами объекта конкурса.</w:t>
      </w:r>
    </w:p>
    <w:p>
      <w:pPr>
        <w:spacing w:after="120"/>
        <w:jc w:val="both"/>
      </w:pPr>
      <w:r>
        <w:rPr>
          <w:rFonts w:ascii="Arial" w:cs="Arial" w:eastAsia="Arial" w:hAnsi="Arial"/>
          <w:sz w:val="24"/>
          <w:szCs w:val="24"/>
        </w:rPr>
        <w:t xml:space="preserve">Гарантийный взнос не возвращается победителю конкурса, если победитель конкурса отказался от подписания лицензионного соглашения, полностью или частично не оплатил цену за право пользования недрами объекта конкурса в срок, предусмотренного подпунктом 2 пункта 14 настоящих Условий, и перечисляется в республиканский бюджет.</w:t>
      </w:r>
    </w:p>
    <w:p>
      <w:pPr>
        <w:spacing w:after="120"/>
        <w:jc w:val="both"/>
      </w:pPr>
      <w:r>
        <w:rPr>
          <w:rFonts w:ascii="Arial" w:cs="Arial" w:eastAsia="Arial" w:hAnsi="Arial"/>
          <w:sz w:val="24"/>
          <w:szCs w:val="24"/>
        </w:rPr>
        <w:t xml:space="preserve">Гарантийный взнос возвращается, в случае если лицо, участвовавшее в конкурсе, не стало победителем.</w:t>
      </w:r>
    </w:p>
    <w:p>
      <w:pPr>
        <w:spacing w:after="120"/>
        <w:jc w:val="both"/>
      </w:pPr>
      <w:r>
        <w:rPr>
          <w:rFonts w:ascii="Arial" w:cs="Arial" w:eastAsia="Arial" w:hAnsi="Arial"/>
          <w:sz w:val="24"/>
          <w:szCs w:val="24"/>
        </w:rPr>
        <w:t xml:space="preserve">14. Цена за право пользования недрами объекта конкурса.</w:t>
      </w:r>
    </w:p>
    <w:p>
      <w:pPr>
        <w:spacing w:after="120"/>
        <w:jc w:val="both"/>
      </w:pPr>
      <w:r>
        <w:rPr>
          <w:rFonts w:ascii="Arial" w:cs="Arial" w:eastAsia="Arial" w:hAnsi="Arial"/>
          <w:sz w:val="24"/>
          <w:szCs w:val="24"/>
        </w:rPr>
        <w:t xml:space="preserve">1) Цена за право пользования недрами объекта конкурса не может быть ниже минимального порога, который составляет 564400000 (пятьсот шестьдесят четыре миллиона четыреста тысяч) сомов. Цена включает в себя сумму бонуса (налог на право пользования недрами) и цену за полный пакет геологической информации о недрах. Итоговая сумма за вычетом бонуса и цены за полный пакет геологической информации о недрах распределяется в соответствии с </w:t>
      </w:r>
      <w:hyperlink w:history="1" r:id="rIdzacymzrcpozj3hhdz0360">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утвержденным </w:t>
      </w:r>
      <w:hyperlink w:history="1" r:id="rIdn9uli-hw8zxt594ascc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 834. Цена на право пользования недрами объекта конкурса является единовременным и невозвратным платежом;</w:t>
      </w:r>
    </w:p>
    <w:p>
      <w:pPr>
        <w:spacing w:after="120"/>
        <w:jc w:val="both"/>
      </w:pPr>
      <w:r>
        <w:rPr>
          <w:rFonts w:ascii="Arial" w:cs="Arial" w:eastAsia="Arial" w:hAnsi="Arial"/>
          <w:sz w:val="24"/>
          <w:szCs w:val="24"/>
        </w:rPr>
        <w:t xml:space="preserve">2) победитель конкурса обязан уплатить предложенную им цену за право пользования недрами объекта конкурса в течение 30 (тридцать) рабочих дней со дня публикации решения конкурсной комиссии об определении победителя конкурса на официальных веб-сайтах Правительства Кыргызской Республики и Комитета.</w:t>
      </w:r>
    </w:p>
    <w:p>
      <w:pPr>
        <w:spacing w:after="120"/>
        <w:jc w:val="both"/>
      </w:pPr>
      <w:r>
        <w:rPr>
          <w:rFonts w:ascii="Arial" w:cs="Arial" w:eastAsia="Arial" w:hAnsi="Arial"/>
          <w:sz w:val="24"/>
          <w:szCs w:val="24"/>
        </w:rPr>
        <w:t xml:space="preserve">15. Реквизиты для внесения оплаты.</w:t>
      </w:r>
    </w:p>
    <w:p>
      <w:pPr>
        <w:spacing w:after="120"/>
        <w:jc w:val="both"/>
      </w:pPr>
      <w:r>
        <w:rPr>
          <w:rFonts w:ascii="Arial" w:cs="Arial" w:eastAsia="Arial" w:hAnsi="Arial"/>
          <w:sz w:val="24"/>
          <w:szCs w:val="24"/>
        </w:rPr>
        <w:t xml:space="preserve">1) Плата за геологическую информацию, плата за участие в конкурсе, гарантийный взнос, а также цена за право пользования недрами объекта конкурса с указанием соответствующего назначения должны быть внесены на следующие реквизиты расчетного счета Комитета:</w:t>
      </w:r>
    </w:p>
    <w:p>
      <w:pPr>
        <w:spacing w:after="120"/>
        <w:jc w:val="both"/>
      </w:pPr>
      <w:r>
        <w:rPr>
          <w:rFonts w:ascii="Arial" w:cs="Arial" w:eastAsia="Arial" w:hAnsi="Arial"/>
          <w:sz w:val="24"/>
          <w:szCs w:val="24"/>
        </w:rPr>
        <w:t xml:space="preserve">Получатель: Октябрьский РОК город Бишкек</w:t>
      </w:r>
    </w:p>
    <w:p>
      <w:pPr>
        <w:spacing w:after="120"/>
        <w:jc w:val="both"/>
      </w:pPr>
      <w:r>
        <w:rPr>
          <w:rFonts w:ascii="Arial" w:cs="Arial" w:eastAsia="Arial" w:hAnsi="Arial"/>
          <w:sz w:val="24"/>
          <w:szCs w:val="24"/>
        </w:rPr>
        <w:t xml:space="preserve">Банк: Октябрьский филиал ОАО "РСК-Банк"</w:t>
      </w:r>
    </w:p>
    <w:p>
      <w:pPr>
        <w:spacing w:after="120"/>
        <w:jc w:val="both"/>
      </w:pPr>
      <w:r>
        <w:rPr>
          <w:rFonts w:ascii="Arial" w:cs="Arial" w:eastAsia="Arial" w:hAnsi="Arial"/>
          <w:sz w:val="24"/>
          <w:szCs w:val="24"/>
        </w:rPr>
        <w:t xml:space="preserve">БИК 129053</w:t>
      </w:r>
    </w:p>
    <w:p>
      <w:pPr>
        <w:spacing w:after="120"/>
        <w:jc w:val="both"/>
      </w:pPr>
      <w:r>
        <w:rPr>
          <w:rFonts w:ascii="Arial" w:cs="Arial" w:eastAsia="Arial" w:hAnsi="Arial"/>
          <w:sz w:val="24"/>
          <w:szCs w:val="24"/>
        </w:rPr>
        <w:t xml:space="preserve">Расчетный счет: 1290534132810077</w:t>
      </w:r>
    </w:p>
    <w:p>
      <w:pPr>
        <w:spacing w:after="120"/>
        <w:jc w:val="both"/>
      </w:pPr>
      <w:r>
        <w:rPr>
          <w:rFonts w:ascii="Arial" w:cs="Arial" w:eastAsia="Arial" w:hAnsi="Arial"/>
          <w:sz w:val="24"/>
          <w:szCs w:val="24"/>
        </w:rPr>
        <w:t xml:space="preserve">Лицевой счет: 4402032100002327</w:t>
      </w:r>
    </w:p>
    <w:p>
      <w:pPr>
        <w:spacing w:after="120"/>
        <w:jc w:val="both"/>
      </w:pPr>
      <w:r>
        <w:rPr>
          <w:rFonts w:ascii="Arial" w:cs="Arial" w:eastAsia="Arial" w:hAnsi="Arial"/>
          <w:sz w:val="24"/>
          <w:szCs w:val="24"/>
        </w:rPr>
        <w:t xml:space="preserve">Назначение платежа: [на лицевой счет Комитета плата за краткий пакет геологической информации]/[на лицевой счет Комитета плата за участие в конкурсе]/[на лицевой счет Комитета гарантийный взнос победителя конкурса]/[на лицевой счет Комитета плата за право пользования недрами (цена за право пользования недрами объекта конкурса)].</w:t>
      </w:r>
    </w:p>
    <w:p>
      <w:pPr>
        <w:spacing w:after="120"/>
        <w:jc w:val="both"/>
      </w:pPr>
      <w:r>
        <w:rPr>
          <w:rFonts w:ascii="Arial" w:cs="Arial" w:eastAsia="Arial" w:hAnsi="Arial"/>
          <w:sz w:val="24"/>
          <w:szCs w:val="24"/>
        </w:rPr>
        <w:t xml:space="preserve">16. Победитель конкурса обязан выплачивать лицензионные платежи, налоги, неналоговые платежи, а также иные обязательные платежи, отчисления и платы в соответствии с Налоговым кодексом Кыргызской Республики и Законом Кыргызской Республики "О неналоговых платежах".</w:t>
      </w:r>
    </w:p>
    <w:p>
      <w:pPr>
        <w:spacing w:after="120"/>
        <w:jc w:val="both"/>
      </w:pPr>
      <w:r>
        <w:rPr>
          <w:rFonts w:ascii="Arial" w:cs="Arial" w:eastAsia="Arial" w:hAnsi="Arial"/>
          <w:sz w:val="24"/>
          <w:szCs w:val="24"/>
        </w:rPr>
        <w:t xml:space="preserve">6. Этапы конкурса и документы, предоставляемые участниками конкурса</w:t>
      </w:r>
    </w:p>
    <w:p>
      <w:pPr>
        <w:spacing w:after="120"/>
        <w:jc w:val="both"/>
      </w:pPr>
      <w:r>
        <w:rPr>
          <w:rFonts w:ascii="Arial" w:cs="Arial" w:eastAsia="Arial" w:hAnsi="Arial"/>
          <w:sz w:val="24"/>
          <w:szCs w:val="24"/>
        </w:rPr>
        <w:t xml:space="preserve">17. Конкурс проводится в два этапа. На первом этапе осуществляется прием и проверка документов. На втором этапе рассматриваются программы, предложения, экономические и финансовые возможности организации и другие условия, определяемые комиссией.</w:t>
      </w:r>
    </w:p>
    <w:p>
      <w:pPr>
        <w:spacing w:after="120"/>
        <w:jc w:val="both"/>
      </w:pPr>
      <w:r>
        <w:rPr>
          <w:rFonts w:ascii="Arial" w:cs="Arial" w:eastAsia="Arial" w:hAnsi="Arial"/>
          <w:sz w:val="24"/>
          <w:szCs w:val="24"/>
        </w:rPr>
        <w:t xml:space="preserve">18. Первый этап конкурса.</w:t>
      </w:r>
    </w:p>
    <w:p>
      <w:pPr>
        <w:spacing w:after="120"/>
        <w:jc w:val="both"/>
      </w:pPr>
      <w:r>
        <w:rPr>
          <w:rFonts w:ascii="Arial" w:cs="Arial" w:eastAsia="Arial" w:hAnsi="Arial"/>
          <w:sz w:val="24"/>
          <w:szCs w:val="24"/>
        </w:rPr>
        <w:t xml:space="preserve">На первом этапе участники конкурса, не позднее 45 (сорок пять) календарных дней со дня опубликования объявления в средствах массовой информации о проведении конкурса, представляют заявку на участие в конкурсе в Комитет по адресу: Кыргызская Республика, город Бишкек, бульвар Эркиндик, 2, кабинет № 210, в двух экземплярах, нарочно. Подача заявки по почте не допускается. При предоставлении копий документов показывается оригинал документов. Допускается представление документов по доверенности.</w:t>
      </w:r>
    </w:p>
    <w:p>
      <w:pPr>
        <w:spacing w:after="120"/>
        <w:jc w:val="both"/>
      </w:pPr>
      <w:r>
        <w:rPr>
          <w:rFonts w:ascii="Arial" w:cs="Arial" w:eastAsia="Arial" w:hAnsi="Arial"/>
          <w:sz w:val="24"/>
          <w:szCs w:val="24"/>
        </w:rPr>
        <w:t xml:space="preserve">Заявка подается по форме, определяемой Комитетом. Заявка должна содержать данные о заявителе, месте и виде пользования недрами. К заявке прилагаются следующие документы:</w:t>
      </w:r>
    </w:p>
    <w:p>
      <w:pPr>
        <w:spacing w:after="120"/>
        <w:jc w:val="both"/>
      </w:pPr>
      <w:r>
        <w:rPr>
          <w:rFonts w:ascii="Arial" w:cs="Arial" w:eastAsia="Arial" w:hAnsi="Arial"/>
          <w:sz w:val="24"/>
          <w:szCs w:val="24"/>
        </w:rPr>
        <w:t xml:space="preserve">- копии учредительных документов и свидетельства о регистрации юридического лица;</w:t>
      </w:r>
    </w:p>
    <w:p>
      <w:pPr>
        <w:spacing w:after="120"/>
        <w:jc w:val="both"/>
      </w:pPr>
      <w:r>
        <w:rPr>
          <w:rFonts w:ascii="Arial" w:cs="Arial" w:eastAsia="Arial" w:hAnsi="Arial"/>
          <w:sz w:val="24"/>
          <w:szCs w:val="24"/>
        </w:rPr>
        <w:t xml:space="preserve">- копия свидетельства о государственной регистрации гражданина в качестве индивидуального предпринимателя;</w:t>
      </w:r>
    </w:p>
    <w:p>
      <w:pPr>
        <w:spacing w:after="120"/>
        <w:jc w:val="both"/>
      </w:pPr>
      <w:r>
        <w:rPr>
          <w:rFonts w:ascii="Arial" w:cs="Arial" w:eastAsia="Arial" w:hAnsi="Arial"/>
          <w:sz w:val="24"/>
          <w:szCs w:val="24"/>
        </w:rPr>
        <w:t xml:space="preserve">- копия документа о назначении исполнительного органа организации;</w:t>
      </w:r>
    </w:p>
    <w:p>
      <w:pPr>
        <w:spacing w:after="120"/>
        <w:jc w:val="both"/>
      </w:pPr>
      <w:r>
        <w:rPr>
          <w:rFonts w:ascii="Arial" w:cs="Arial" w:eastAsia="Arial" w:hAnsi="Arial"/>
          <w:sz w:val="24"/>
          <w:szCs w:val="24"/>
        </w:rPr>
        <w:t xml:space="preserve">- доверенность на представителя, оформленная в соответствии с требованиями законодательства Кыргызской Республики, если лицо будет действовать через своего представителя;</w:t>
      </w:r>
    </w:p>
    <w:p>
      <w:pPr>
        <w:spacing w:after="120"/>
        <w:jc w:val="both"/>
      </w:pPr>
      <w:r>
        <w:rPr>
          <w:rFonts w:ascii="Arial" w:cs="Arial" w:eastAsia="Arial" w:hAnsi="Arial"/>
          <w:sz w:val="24"/>
          <w:szCs w:val="24"/>
        </w:rPr>
        <w:t xml:space="preserve">- документы, подтверждающие оплату гарантийного взноса и покупку пакета геологической информации;</w:t>
      </w:r>
    </w:p>
    <w:p>
      <w:pPr>
        <w:spacing w:after="120"/>
        <w:jc w:val="both"/>
      </w:pPr>
      <w:r>
        <w:rPr>
          <w:rFonts w:ascii="Arial" w:cs="Arial" w:eastAsia="Arial" w:hAnsi="Arial"/>
          <w:sz w:val="24"/>
          <w:szCs w:val="24"/>
        </w:rPr>
        <w:t xml:space="preserve">- справка налоговой службы об отсутствии налоговой задолженности перед бюджетом;</w:t>
      </w:r>
    </w:p>
    <w:p>
      <w:pPr>
        <w:spacing w:after="120"/>
        <w:jc w:val="both"/>
      </w:pPr>
      <w:r>
        <w:rPr>
          <w:rFonts w:ascii="Arial" w:cs="Arial" w:eastAsia="Arial" w:hAnsi="Arial"/>
          <w:sz w:val="24"/>
          <w:szCs w:val="24"/>
        </w:rPr>
        <w:t xml:space="preserve">- для иностранного юридического лица -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120"/>
        <w:jc w:val="both"/>
      </w:pPr>
      <w:r>
        <w:rPr>
          <w:rFonts w:ascii="Arial" w:cs="Arial" w:eastAsia="Arial" w:hAnsi="Arial"/>
          <w:sz w:val="24"/>
          <w:szCs w:val="24"/>
        </w:rPr>
        <w:t xml:space="preserve">- для физического лица - копия паспорта и свидетельство о регистрации в качестве индивидуального предпринимателя;</w:t>
      </w:r>
    </w:p>
    <w:p>
      <w:pPr>
        <w:spacing w:after="120"/>
        <w:jc w:val="both"/>
      </w:pPr>
      <w:r>
        <w:rPr>
          <w:rFonts w:ascii="Arial" w:cs="Arial" w:eastAsia="Arial" w:hAnsi="Arial"/>
          <w:sz w:val="24"/>
          <w:szCs w:val="24"/>
        </w:rPr>
        <w:t xml:space="preserve">- для иностранного физического лица - копия паспорта и нотариально заверенный его перевод на государственный или официальный язык;</w:t>
      </w:r>
    </w:p>
    <w:p>
      <w:pPr>
        <w:spacing w:after="120"/>
        <w:jc w:val="both"/>
      </w:pPr>
      <w:r>
        <w:rPr>
          <w:rFonts w:ascii="Arial" w:cs="Arial" w:eastAsia="Arial" w:hAnsi="Arial"/>
          <w:sz w:val="24"/>
          <w:szCs w:val="24"/>
        </w:rPr>
        <w:t xml:space="preserve">- информация, раскрывающая лиц, являющихся конечными владельцами и/или бенефициарами участников конкурса.</w:t>
      </w:r>
    </w:p>
    <w:p>
      <w:pPr>
        <w:spacing w:after="120"/>
        <w:jc w:val="both"/>
      </w:pPr>
      <w:r>
        <w:rPr>
          <w:rFonts w:ascii="Arial" w:cs="Arial" w:eastAsia="Arial" w:hAnsi="Arial"/>
          <w:sz w:val="24"/>
          <w:szCs w:val="24"/>
        </w:rPr>
        <w:t xml:space="preserve">Учредительные и иные документы, представляемые иностранным юридическим лицом (организацией), должны быть апостилированы и представлен их нотариально заверенный перевод на государственный и/или официальный язык.</w:t>
      </w:r>
    </w:p>
    <w:p>
      <w:pPr>
        <w:spacing w:after="120"/>
        <w:jc w:val="both"/>
      </w:pPr>
      <w:r>
        <w:rPr>
          <w:rFonts w:ascii="Arial" w:cs="Arial" w:eastAsia="Arial" w:hAnsi="Arial"/>
          <w:sz w:val="24"/>
          <w:szCs w:val="24"/>
        </w:rPr>
        <w:t xml:space="preserve">19. Участник конкурса должен подать в одном конверте документы, содержащие полное наименование и адрес участника конкурса, указание на участие в рамках первого этапа конкурса, полный список подаваемых документов. Подаваемые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языке и/или на официальном языке. В случае подачи документов на иностранном языке к ним должны быть приложены нотариально заверенный перевод на государственный или официальный язык.</w:t>
      </w:r>
    </w:p>
    <w:p>
      <w:pPr>
        <w:spacing w:after="120"/>
        <w:jc w:val="both"/>
      </w:pPr>
      <w:r>
        <w:rPr>
          <w:rFonts w:ascii="Arial" w:cs="Arial" w:eastAsia="Arial" w:hAnsi="Arial"/>
          <w:sz w:val="24"/>
          <w:szCs w:val="24"/>
        </w:rPr>
        <w:t xml:space="preserve">Конкурсная комиссия рассматривает документы, поданные на государственном или официальном языке.</w:t>
      </w:r>
    </w:p>
    <w:p>
      <w:pPr>
        <w:spacing w:after="120"/>
        <w:jc w:val="both"/>
      </w:pPr>
      <w:r>
        <w:rPr>
          <w:rFonts w:ascii="Arial" w:cs="Arial" w:eastAsia="Arial" w:hAnsi="Arial"/>
          <w:sz w:val="24"/>
          <w:szCs w:val="24"/>
        </w:rPr>
        <w:t xml:space="preserve">Изменения и дополнения в представленные участниками конкурса документы после истечения срока для подачи документов не принимаются. До истечения сроков для подачи документов внесение изменений и дополнений редакционного характера в представленные участниками конкурса документы возможно в течение двух рабочих дней со дня дачи письменного согласия председателя конкурсной комиссии. Представленные документы возврату не подлежат и хранятся в Комитете.</w:t>
      </w:r>
    </w:p>
    <w:p>
      <w:pPr>
        <w:spacing w:after="120"/>
        <w:jc w:val="both"/>
      </w:pPr>
      <w:r>
        <w:rPr>
          <w:rFonts w:ascii="Arial" w:cs="Arial" w:eastAsia="Arial" w:hAnsi="Arial"/>
          <w:sz w:val="24"/>
          <w:szCs w:val="24"/>
        </w:rPr>
        <w:t xml:space="preserve">20.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участников конкурса и количество страниц представленных ими документов.</w:t>
      </w:r>
    </w:p>
    <w:p>
      <w:pPr>
        <w:spacing w:after="120"/>
        <w:jc w:val="both"/>
      </w:pPr>
      <w:r>
        <w:rPr>
          <w:rFonts w:ascii="Arial" w:cs="Arial" w:eastAsia="Arial" w:hAnsi="Arial"/>
          <w:sz w:val="24"/>
          <w:szCs w:val="24"/>
        </w:rPr>
        <w:t xml:space="preserve">Конкурсная комиссия в течение 5 (пять) рабочих дней после вскрытия конвертов рассматривает представленные документы и принимает решение о допуске или отказе в допуске участникам конкурса к участию во втором этапе конкурса. Участники конкурса допускаются к участию во втором этапе при условии, что представленные ими документы, соответствуют требованиям нормативных правовых актов Кыргызской Республики и установленным настоящими Условиями.</w:t>
      </w:r>
    </w:p>
    <w:p>
      <w:pPr>
        <w:spacing w:after="120"/>
        <w:jc w:val="both"/>
      </w:pPr>
      <w:r>
        <w:rPr>
          <w:rFonts w:ascii="Arial" w:cs="Arial" w:eastAsia="Arial" w:hAnsi="Arial"/>
          <w:sz w:val="24"/>
          <w:szCs w:val="24"/>
        </w:rPr>
        <w:t xml:space="preserve">В случае возникновения вопросов в отношении требований к перечню, виду и форме подаваемых документов, конкурсная комиссия вправе давать дополнительные разъяснения, издаваемые в форме протокола.</w:t>
      </w:r>
    </w:p>
    <w:p>
      <w:pPr>
        <w:spacing w:after="120"/>
        <w:jc w:val="both"/>
      </w:pPr>
      <w:r>
        <w:rPr>
          <w:rFonts w:ascii="Arial" w:cs="Arial" w:eastAsia="Arial" w:hAnsi="Arial"/>
          <w:sz w:val="24"/>
          <w:szCs w:val="24"/>
        </w:rPr>
        <w:t xml:space="preserve">21. Решение конкурсной комиссии о допуске либо об отказе в допуске к участию во втором этапе публикуется на официальных веб-сайтах Правительства Кыргызской Республики и Комитета, а также в средствах массовой информации. Решение конкурсной комиссии оформляется протоколом и подписывается присутствующими на заседании членами конкурсной комиссии.</w:t>
      </w:r>
    </w:p>
    <w:p>
      <w:pPr>
        <w:spacing w:after="120"/>
        <w:jc w:val="both"/>
      </w:pPr>
      <w:r>
        <w:rPr>
          <w:rFonts w:ascii="Arial" w:cs="Arial" w:eastAsia="Arial" w:hAnsi="Arial"/>
          <w:sz w:val="24"/>
          <w:szCs w:val="24"/>
        </w:rPr>
        <w:t xml:space="preserve">Основаниями для отказа в допуске к участию во втором этапе являются следующие:</w:t>
      </w:r>
    </w:p>
    <w:p>
      <w:pPr>
        <w:spacing w:after="120"/>
        <w:jc w:val="both"/>
      </w:pPr>
      <w:r>
        <w:rPr>
          <w:rFonts w:ascii="Arial" w:cs="Arial" w:eastAsia="Arial" w:hAnsi="Arial"/>
          <w:sz w:val="24"/>
          <w:szCs w:val="24"/>
        </w:rPr>
        <w:t xml:space="preserve">1) содержание заявки не соответствует условиям проводимого конкурса (указан иной объект недр, дата проведения конкурса);</w:t>
      </w:r>
    </w:p>
    <w:p>
      <w:pPr>
        <w:spacing w:after="120"/>
        <w:jc w:val="both"/>
      </w:pPr>
      <w:r>
        <w:rPr>
          <w:rFonts w:ascii="Arial" w:cs="Arial" w:eastAsia="Arial" w:hAnsi="Arial"/>
          <w:sz w:val="24"/>
          <w:szCs w:val="24"/>
        </w:rPr>
        <w:t xml:space="preserve">2) заявителем представлен неполный перечень документов либо представленные документы не соответствуют требованиям, установленным настоящими Условиями.</w:t>
      </w:r>
    </w:p>
    <w:p>
      <w:pPr>
        <w:spacing w:after="120"/>
        <w:jc w:val="both"/>
      </w:pPr>
      <w:r>
        <w:rPr>
          <w:rFonts w:ascii="Arial" w:cs="Arial" w:eastAsia="Arial" w:hAnsi="Arial"/>
          <w:sz w:val="24"/>
          <w:szCs w:val="24"/>
        </w:rPr>
        <w:t xml:space="preserve">Заявители, допущенные и не допущенные к участию во втором этапе конкурса, уведомляются секретарем конкурсной комиссии о принятых решениях в течение 3 (три) рабочих дней.</w:t>
      </w:r>
    </w:p>
    <w:p>
      <w:pPr>
        <w:spacing w:after="120"/>
        <w:jc w:val="both"/>
      </w:pPr>
      <w:r>
        <w:rPr>
          <w:rFonts w:ascii="Arial" w:cs="Arial" w:eastAsia="Arial" w:hAnsi="Arial"/>
          <w:sz w:val="24"/>
          <w:szCs w:val="24"/>
        </w:rPr>
        <w:t xml:space="preserve">22. Второй этап конкурса.</w:t>
      </w:r>
    </w:p>
    <w:p>
      <w:pPr>
        <w:spacing w:after="120"/>
        <w:jc w:val="both"/>
      </w:pPr>
      <w:r>
        <w:rPr>
          <w:rFonts w:ascii="Arial" w:cs="Arial" w:eastAsia="Arial" w:hAnsi="Arial"/>
          <w:sz w:val="24"/>
          <w:szCs w:val="24"/>
        </w:rPr>
        <w:t xml:space="preserve">Участники конкурса, допущенные ко второму этапу, в сроки, установленные конкурсной комиссией, в запечатанном конверте представляют в Комитет по адресу: Кыргызская Республика, город Бишкек, бульвар Эркиндик, 2, кабинет № 210, следующие документы:</w:t>
      </w:r>
    </w:p>
    <w:p>
      <w:pPr>
        <w:spacing w:after="120"/>
        <w:jc w:val="both"/>
      </w:pPr>
      <w:r>
        <w:rPr>
          <w:rFonts w:ascii="Arial" w:cs="Arial" w:eastAsia="Arial" w:hAnsi="Arial"/>
          <w:sz w:val="24"/>
          <w:szCs w:val="24"/>
        </w:rPr>
        <w:t xml:space="preserve">- программа работ по реализации Комплексного проекта с укрупненными технико-экономическими расчетами по капитальным вложениям, эксплуатационным затратам и рентабельности;</w:t>
      </w:r>
    </w:p>
    <w:p>
      <w:pPr>
        <w:spacing w:after="120"/>
        <w:jc w:val="both"/>
      </w:pPr>
      <w:r>
        <w:rPr>
          <w:rFonts w:ascii="Arial" w:cs="Arial" w:eastAsia="Arial" w:hAnsi="Arial"/>
          <w:sz w:val="24"/>
          <w:szCs w:val="24"/>
        </w:rPr>
        <w:t xml:space="preserve">- подтверждение финансовой возможности для реализации Комплексного проекта;</w:t>
      </w:r>
    </w:p>
    <w:p>
      <w:pPr>
        <w:spacing w:after="120"/>
        <w:jc w:val="both"/>
      </w:pPr>
      <w:r>
        <w:rPr>
          <w:rFonts w:ascii="Arial" w:cs="Arial" w:eastAsia="Arial" w:hAnsi="Arial"/>
          <w:sz w:val="24"/>
          <w:szCs w:val="24"/>
        </w:rPr>
        <w:t xml:space="preserve">- документ, подтверждающий опыт работы в области разработки месторождений и/или в строительстве ТЭС не менее двух лет;</w:t>
      </w:r>
    </w:p>
    <w:p>
      <w:pPr>
        <w:spacing w:after="120"/>
        <w:jc w:val="both"/>
      </w:pPr>
      <w:r>
        <w:rPr>
          <w:rFonts w:ascii="Arial" w:cs="Arial" w:eastAsia="Arial" w:hAnsi="Arial"/>
          <w:sz w:val="24"/>
          <w:szCs w:val="24"/>
        </w:rPr>
        <w:t xml:space="preserve">- предложение о сроке ввода в эксплуатацию угледобывающего предприятия и ТЭС после получения лицензии на право пользования недрами с целью разработки буроугольного месторождения "Сулюкта - поле 11";</w:t>
      </w:r>
    </w:p>
    <w:p>
      <w:pPr>
        <w:spacing w:after="120"/>
        <w:jc w:val="both"/>
      </w:pPr>
      <w:r>
        <w:rPr>
          <w:rFonts w:ascii="Arial" w:cs="Arial" w:eastAsia="Arial" w:hAnsi="Arial"/>
          <w:sz w:val="24"/>
          <w:szCs w:val="24"/>
        </w:rPr>
        <w:t xml:space="preserve">- предложение о применении на объекте конкурса современных технологий добычи угля;</w:t>
      </w:r>
    </w:p>
    <w:p>
      <w:pPr>
        <w:spacing w:after="120"/>
        <w:jc w:val="both"/>
      </w:pPr>
      <w:r>
        <w:rPr>
          <w:rFonts w:ascii="Arial" w:cs="Arial" w:eastAsia="Arial" w:hAnsi="Arial"/>
          <w:sz w:val="24"/>
          <w:szCs w:val="24"/>
        </w:rPr>
        <w:t xml:space="preserve">- предложение о применении комплекса мер по обеспечению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 предложение о рекультивации нарушенных земель;</w:t>
      </w:r>
    </w:p>
    <w:p>
      <w:pPr>
        <w:spacing w:after="120"/>
        <w:jc w:val="both"/>
      </w:pPr>
      <w:r>
        <w:rPr>
          <w:rFonts w:ascii="Arial" w:cs="Arial" w:eastAsia="Arial" w:hAnsi="Arial"/>
          <w:sz w:val="24"/>
          <w:szCs w:val="24"/>
        </w:rPr>
        <w:t xml:space="preserve">- предложение (при участии в конкурсе иностранных юридических и физических лиц) о соотношении привлеченных отечественных специалистов и рабочих от общего количества работающих;</w:t>
      </w:r>
    </w:p>
    <w:p>
      <w:pPr>
        <w:spacing w:after="120"/>
        <w:jc w:val="both"/>
      </w:pPr>
      <w:r>
        <w:rPr>
          <w:rFonts w:ascii="Arial" w:cs="Arial" w:eastAsia="Arial" w:hAnsi="Arial"/>
          <w:sz w:val="24"/>
          <w:szCs w:val="24"/>
        </w:rPr>
        <w:t xml:space="preserve">- предложение по социальному пакету;</w:t>
      </w:r>
    </w:p>
    <w:p>
      <w:pPr>
        <w:spacing w:after="120"/>
        <w:jc w:val="both"/>
      </w:pPr>
      <w:r>
        <w:rPr>
          <w:rFonts w:ascii="Arial" w:cs="Arial" w:eastAsia="Arial" w:hAnsi="Arial"/>
          <w:sz w:val="24"/>
          <w:szCs w:val="24"/>
        </w:rPr>
        <w:t xml:space="preserve">- предложение цены за право пользования недрами объекта конкурса, не менее установленного минимального порога, определенного в подпункте 1 пункта 14 настоящих Условий.</w:t>
      </w:r>
    </w:p>
    <w:p>
      <w:pPr>
        <w:spacing w:after="120"/>
        <w:jc w:val="both"/>
      </w:pPr>
      <w:r>
        <w:rPr>
          <w:rFonts w:ascii="Arial" w:cs="Arial" w:eastAsia="Arial" w:hAnsi="Arial"/>
          <w:sz w:val="24"/>
          <w:szCs w:val="24"/>
        </w:rPr>
        <w:t xml:space="preserve">23. Участник, допущенный к участию во втором этапе конкурса, должен подать в одном конверте документы, содержащие полное наименование и адрес участника конкурса, указание на подачу документов в рамках участия во втором этапе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должны быть приложены нотариально заверенный перевод на государственный или официальный язык. Изменения и дополнения в представленные участниками конкурса документы после истечения срока для подачи документов не принимаются.</w:t>
      </w:r>
    </w:p>
    <w:p>
      <w:pPr>
        <w:spacing w:after="120"/>
        <w:jc w:val="both"/>
      </w:pPr>
      <w:r>
        <w:rPr>
          <w:rFonts w:ascii="Arial" w:cs="Arial" w:eastAsia="Arial" w:hAnsi="Arial"/>
          <w:sz w:val="24"/>
          <w:szCs w:val="24"/>
        </w:rPr>
        <w:t xml:space="preserve">До истечения сроков для подачи документов внесение изменений и дополнений редакционного характера в представленные участниками конкурса документы возможно в течение двух рабочих дней со дня дачи письменного согласия председателя конкурсной комиссии. Представленные документы возврату не подлежат и хранятся в Комитете.</w:t>
      </w:r>
    </w:p>
    <w:p>
      <w:pPr>
        <w:spacing w:after="120"/>
        <w:jc w:val="both"/>
      </w:pPr>
      <w:r>
        <w:rPr>
          <w:rFonts w:ascii="Arial" w:cs="Arial" w:eastAsia="Arial" w:hAnsi="Arial"/>
          <w:sz w:val="24"/>
          <w:szCs w:val="24"/>
        </w:rPr>
        <w:t xml:space="preserve">24.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и адрес участников конкурса, количество страниц, представленных ими документов и предлагаемая цена за право пользования недрами объекта конкурса. Участники конкурса вправе присутствовать при вскрытии конвертов.</w:t>
      </w:r>
    </w:p>
    <w:p>
      <w:pPr>
        <w:spacing w:after="120"/>
        <w:jc w:val="both"/>
      </w:pPr>
      <w:r>
        <w:rPr>
          <w:rFonts w:ascii="Arial" w:cs="Arial" w:eastAsia="Arial" w:hAnsi="Arial"/>
          <w:sz w:val="24"/>
          <w:szCs w:val="24"/>
        </w:rPr>
        <w:t xml:space="preserve">25. Протокол конкурсной комиссии о вскрытии конвертов публикуется на официальных веб-сайтах Правительства Кыргызской Республики и Комитета.</w:t>
      </w:r>
    </w:p>
    <w:p>
      <w:pPr>
        <w:spacing w:after="120"/>
        <w:jc w:val="both"/>
      </w:pPr>
      <w:r>
        <w:rPr>
          <w:rFonts w:ascii="Arial" w:cs="Arial" w:eastAsia="Arial" w:hAnsi="Arial"/>
          <w:sz w:val="24"/>
          <w:szCs w:val="24"/>
        </w:rPr>
        <w:t xml:space="preserve">7. Критерии определения победителя конкурса</w:t>
      </w:r>
    </w:p>
    <w:p>
      <w:pPr>
        <w:spacing w:after="120"/>
        <w:jc w:val="both"/>
      </w:pPr>
      <w:r>
        <w:rPr>
          <w:rFonts w:ascii="Arial" w:cs="Arial" w:eastAsia="Arial" w:hAnsi="Arial"/>
          <w:sz w:val="24"/>
          <w:szCs w:val="24"/>
        </w:rPr>
        <w:t xml:space="preserve">26. Конкурсная комиссия в течение 5 (пять) рабочих дней со дня вскрытия конвертов рассматривает предложения участников конкурса, оформляет протокол об итогах голосования по результатам проведения второго этапа конкурса и на основании данного протокола выносит решение о победителе конкурса. При рассмотрении документов, представленных участниками конкурса, конкурсная комиссия вправе пригласить уполномоченного представителя участника конкурса для предоставления дополнительных разъяснений в рамках представленных документов.</w:t>
      </w:r>
    </w:p>
    <w:p>
      <w:pPr>
        <w:spacing w:after="120"/>
        <w:jc w:val="both"/>
      </w:pPr>
      <w:r>
        <w:rPr>
          <w:rFonts w:ascii="Arial" w:cs="Arial" w:eastAsia="Arial" w:hAnsi="Arial"/>
          <w:sz w:val="24"/>
          <w:szCs w:val="24"/>
        </w:rPr>
        <w:t xml:space="preserve">27. Победитель конкурса определяется путем оценки представленных документов и информации. Оценка документов производится конкурсной комиссией по балльной системе по следующим критериям: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5869"/>
        <w:gridCol w:w="3827"/>
      </w:tblGrid>
      <w:tr>
        <w:tc>
          <w:tcPr>
            <w:tcW w:type="dxa" w:w="4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8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критерия</w:t>
            </w:r>
          </w:p>
        </w:tc>
        <w:tc>
          <w:tcPr>
            <w:tcW w:type="dxa" w:w="38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представленных программ по освоению буроугольного месторождения "Сулюкта - поле 11", в том числе по вводу в эксплуатацию угледобывающего предприятия и строительства ТЭС, включая их соответствие требованиям, указанным в пункте 6 настоящих Условий</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применению современных технологий на ТЭС:</w:t>
            </w:r>
          </w:p>
          <w:p>
            <w:pPr>
              <w:jc w:val="left"/>
            </w:pPr>
            <w:r>
              <w:rPr>
                <w:rFonts w:ascii="Arial" w:cs="Arial" w:eastAsia="Arial" w:hAnsi="Arial"/>
                <w:sz w:val="24"/>
                <w:szCs w:val="24"/>
              </w:rPr>
              <w:t xml:space="preserve">- в основном оборудовании;</w:t>
            </w:r>
          </w:p>
          <w:p>
            <w:pPr>
              <w:jc w:val="left"/>
            </w:pPr>
            <w:r>
              <w:rPr>
                <w:rFonts w:ascii="Arial" w:cs="Arial" w:eastAsia="Arial" w:hAnsi="Arial"/>
                <w:sz w:val="24"/>
                <w:szCs w:val="24"/>
              </w:rPr>
              <w:t xml:space="preserve">- в схемах вспомогательных технологических систем</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обеспечению экологической безопасности, охраны и рационального использования окружающей среды</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Финансовая эффективность Комплексного проекта:</w:t>
            </w:r>
          </w:p>
          <w:p>
            <w:pPr>
              <w:jc w:val="left"/>
            </w:pPr>
            <w:r>
              <w:rPr>
                <w:rFonts w:ascii="Arial" w:cs="Arial" w:eastAsia="Arial" w:hAnsi="Arial"/>
                <w:sz w:val="24"/>
                <w:szCs w:val="24"/>
              </w:rPr>
              <w:t xml:space="preserve">- цена привлечения инвестиций (процентная ставка и сроки погашения);</w:t>
            </w:r>
          </w:p>
          <w:p>
            <w:pPr>
              <w:jc w:val="left"/>
            </w:pPr>
            <w:r>
              <w:rPr>
                <w:rFonts w:ascii="Arial" w:cs="Arial" w:eastAsia="Arial" w:hAnsi="Arial"/>
                <w:sz w:val="24"/>
                <w:szCs w:val="24"/>
              </w:rPr>
              <w:t xml:space="preserve">- источники финансирования;</w:t>
            </w:r>
          </w:p>
          <w:p>
            <w:pPr>
              <w:jc w:val="left"/>
            </w:pPr>
            <w:r>
              <w:rPr>
                <w:rFonts w:ascii="Arial" w:cs="Arial" w:eastAsia="Arial" w:hAnsi="Arial"/>
                <w:sz w:val="24"/>
                <w:szCs w:val="24"/>
              </w:rPr>
              <w:t xml:space="preserve">- варианты финансово-экономических моделей по комплексной разработке буроугольного месторождения "Сулюкта - поле 11" и по строительству ТЭС</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представленного социального пакета, включающего программу развития местного сообщества и территории, программу инвестирования в развитие местной инфраструктуры, организацию рабочих мест для населения, проживающего в регионе работ, максимальное использование местных трудовых ресурсов при освоении месторождения и строительстве ТЭС, организацию профессиональной подготовки населения с целью привлечения его к проведению работ, связанных с освоением месторождения и строительством ТЭС, содействие в решении иных вопросов, связанных с программой социально-экономического развития Баткенской области</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минимальной цены за право пользования недрами объекта конкурса</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балл за каждые последующие 13600000 (тринадцать миллионов шестьсот тысяч) сомов, превышающие минимальную цену за право пользования объекта конкурса, но не более 10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строительства и ввода в эксплуатацию угледобывающего предприятия, ТЭС, а также иных инфраструктурных объектов (по срокам)</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месяцев - 10 баллов;</w:t>
            </w:r>
          </w:p>
          <w:p>
            <w:pPr>
              <w:jc w:val="left"/>
            </w:pPr>
            <w:r>
              <w:rPr>
                <w:rFonts w:ascii="Arial" w:cs="Arial" w:eastAsia="Arial" w:hAnsi="Arial"/>
                <w:sz w:val="24"/>
                <w:szCs w:val="24"/>
              </w:rPr>
              <w:t xml:space="preserve">до 3 лет - 5 баллов;</w:t>
            </w:r>
          </w:p>
          <w:p>
            <w:pPr>
              <w:jc w:val="left"/>
            </w:pPr>
            <w:r>
              <w:rPr>
                <w:rFonts w:ascii="Arial" w:cs="Arial" w:eastAsia="Arial" w:hAnsi="Arial"/>
                <w:sz w:val="24"/>
                <w:szCs w:val="24"/>
              </w:rPr>
              <w:t xml:space="preserve">до 5 лет - 1 балл</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Предложение о рекультивации нарушенных земель</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передача Кыргызской Республике доли участия в уставном капитале юридического лица - будущего лицензиата</w:t>
            </w:r>
          </w:p>
        </w:tc>
        <w:tc>
          <w:tcPr>
            <w:tcW w:type="dxa" w:w="3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каждые 5 процентов - 1 балл</w:t>
            </w:r>
          </w:p>
        </w:tc>
      </w:tr>
    </w:tbl>
    <w:p>
      <w:pPr>
        <w:spacing w:after="120"/>
        <w:jc w:val="both"/>
      </w:pPr>
      <w:r>
        <w:rPr>
          <w:rFonts w:ascii="Arial" w:cs="Arial" w:eastAsia="Arial" w:hAnsi="Arial"/>
          <w:sz w:val="24"/>
          <w:szCs w:val="24"/>
        </w:rPr>
        <w:t xml:space="preserve">Примечание. В случае участия в конкурсе юридического лица со 100% государственной собственностью баллы по критерию 8 будут определяться исходя из соглашения о совместной деятельности с иностранным инвестором.</w:t>
      </w:r>
    </w:p>
    <w:p>
      <w:pPr>
        <w:spacing w:after="120"/>
        <w:jc w:val="both"/>
      </w:pPr>
      <w:r>
        <w:rPr>
          <w:rFonts w:ascii="Arial" w:cs="Arial" w:eastAsia="Arial" w:hAnsi="Arial"/>
          <w:sz w:val="24"/>
          <w:szCs w:val="24"/>
        </w:rPr>
        <w:t xml:space="preserve">28. По каждому участнику конкурсной комиссией составляется протокол подсчета баллов с указанием баллов, полученных участником по каждому критерию, и общего балла участника.</w:t>
      </w:r>
    </w:p>
    <w:p>
      <w:pPr>
        <w:spacing w:after="120"/>
        <w:jc w:val="both"/>
      </w:pPr>
      <w:r>
        <w:rPr>
          <w:rFonts w:ascii="Arial" w:cs="Arial" w:eastAsia="Arial" w:hAnsi="Arial"/>
          <w:sz w:val="24"/>
          <w:szCs w:val="24"/>
        </w:rPr>
        <w:t xml:space="preserve">29. Решение конкурсной комиссии принимается большинством от общего числа голосов членов конкурсной комиссии, голосование проходит открыто. В случае равенства голосов решающим является голос председательствующего на заседании конкурсной комиссии. При этом члены конкурсной комиссии, не согласные с решением комиссии, могут приложить к протоколу особое мнение о результатах проведенного конкурса.</w:t>
      </w:r>
    </w:p>
    <w:p>
      <w:pPr>
        <w:spacing w:after="120"/>
        <w:jc w:val="both"/>
      </w:pPr>
      <w:r>
        <w:rPr>
          <w:rFonts w:ascii="Arial" w:cs="Arial" w:eastAsia="Arial" w:hAnsi="Arial"/>
          <w:sz w:val="24"/>
          <w:szCs w:val="24"/>
        </w:rPr>
        <w:t xml:space="preserve">30. Решение конкурсной комиссии оформляется в виде протокола, подписывается всеми членами конкурсной комиссии и победителем конкурса и объявляется на заседании конкурсной комиссии с приглашением участников конкурса и представителей средств массовой информации. Решение конкурсной комиссии об определении победителя конкурса публикуется в средствах массовой информации и на официальных веб-сайтах Правительства Кыргызской Республики и Комитета.</w:t>
      </w:r>
    </w:p>
    <w:p>
      <w:pPr>
        <w:spacing w:after="120"/>
        <w:jc w:val="both"/>
      </w:pPr>
      <w:r>
        <w:rPr>
          <w:rFonts w:ascii="Arial" w:cs="Arial" w:eastAsia="Arial" w:hAnsi="Arial"/>
          <w:sz w:val="24"/>
          <w:szCs w:val="24"/>
        </w:rPr>
        <w:t xml:space="preserve">31. Протоколы конкурсной комиссии считаются действительными, если они подписаны всеми присутствующими на заседании членами конкурсной комиссии.</w:t>
      </w:r>
    </w:p>
    <w:p>
      <w:pPr>
        <w:spacing w:after="120"/>
        <w:jc w:val="both"/>
      </w:pPr>
      <w:r>
        <w:rPr>
          <w:rFonts w:ascii="Arial" w:cs="Arial" w:eastAsia="Arial" w:hAnsi="Arial"/>
          <w:sz w:val="24"/>
          <w:szCs w:val="24"/>
        </w:rPr>
        <w:t xml:space="preserve">32. Протокол конкурсной комиссии является основанием для выдачи победителю конкурса лицензии на право пользования недрами с целью разработки буроугольного месторождения "Сулюкта - поле 11" и (или) проведения нового конкурса, и (или) передачи объекта на аукцион.</w:t>
      </w:r>
    </w:p>
    <w:p>
      <w:pPr>
        <w:spacing w:after="120"/>
        <w:jc w:val="both"/>
      </w:pPr>
      <w:r>
        <w:rPr>
          <w:rFonts w:ascii="Arial" w:cs="Arial" w:eastAsia="Arial" w:hAnsi="Arial"/>
          <w:sz w:val="24"/>
          <w:szCs w:val="24"/>
        </w:rPr>
        <w:t xml:space="preserve">33. В случае признания победителем конкурса иностранного юридического лица лицензия выдается дочерней компании, созданной и зарегистрированной победителем конкурса - иностранным юридическим лицом на территории Кыргызской Республики по месту нахождения буроугольного месторождения "Сулюкта - поле 11". Дочерняя компания, создаваемая иностранным юридическим лицом, должна быть зарегистрирована не позднее одного месяца со дня объявления иностранного юридического лица победителем конкурса. Дочерняя компания должна на 100% принадлежать иностранному юридическому лицу - победителю конкурса, за исключением случаев безвозмездной передачи Кыргызской Республике доли участия в юридическом лице - лицензиате.</w:t>
      </w:r>
    </w:p>
    <w:p>
      <w:pPr>
        <w:spacing w:after="120"/>
        <w:jc w:val="both"/>
      </w:pPr>
      <w:r>
        <w:rPr>
          <w:rFonts w:ascii="Arial" w:cs="Arial" w:eastAsia="Arial" w:hAnsi="Arial"/>
          <w:sz w:val="24"/>
          <w:szCs w:val="24"/>
        </w:rPr>
        <w:t xml:space="preserve">34. Лицензии выдаются победителю конкурса в течение 5 (пять) рабочих дней после оплаты, предложенной им цены за право пользования недрами объекта конкурса. В случае, если победителем конкурса признается иностранное юридическое лицо, то выдача лицензии осуществляется в течение 5 (пять) рабочих дней после:</w:t>
      </w:r>
    </w:p>
    <w:p>
      <w:pPr>
        <w:spacing w:after="120"/>
        <w:jc w:val="both"/>
      </w:pPr>
      <w:r>
        <w:rPr>
          <w:rFonts w:ascii="Arial" w:cs="Arial" w:eastAsia="Arial" w:hAnsi="Arial"/>
          <w:sz w:val="24"/>
          <w:szCs w:val="24"/>
        </w:rPr>
        <w:t xml:space="preserve">а) оплаты предложенной им цены за право пользования недрами объекта конкурса;</w:t>
      </w:r>
    </w:p>
    <w:p>
      <w:pPr>
        <w:spacing w:after="120"/>
        <w:jc w:val="both"/>
      </w:pPr>
      <w:r>
        <w:rPr>
          <w:rFonts w:ascii="Arial" w:cs="Arial" w:eastAsia="Arial" w:hAnsi="Arial"/>
          <w:sz w:val="24"/>
          <w:szCs w:val="24"/>
        </w:rPr>
        <w:t xml:space="preserve">б) представления оригинала или нотариально заверенной копии свидетельства о регистрации дочерней компании иностранного юридического лица, в зависимости от того, какая из указанных дат наступит позже.</w:t>
      </w:r>
    </w:p>
    <w:p>
      <w:pPr>
        <w:spacing w:after="120"/>
        <w:jc w:val="both"/>
      </w:pPr>
      <w:r>
        <w:rPr>
          <w:rFonts w:ascii="Arial" w:cs="Arial" w:eastAsia="Arial" w:hAnsi="Arial"/>
          <w:sz w:val="24"/>
          <w:szCs w:val="24"/>
        </w:rPr>
        <w:t xml:space="preserve">35. В случае отказа победителя конкурса от подписания протокола об итогах конкурса либо неуплаты им заявленной цены за право пользования недрами объекта конкурса в установленный срок, победитель конкурса теряет право на получение лицензии, и победителем конкурса признается участник, набравший после отказавшегося победителя наибольшее количество баллов по отношению к другим участникам или наибольшее количество голосов при дополнительном голосовании, если конкурсной комиссией не будет принято иное решение.</w:t>
      </w:r>
    </w:p>
    <w:p>
      <w:pPr>
        <w:spacing w:after="120"/>
        <w:jc w:val="both"/>
      </w:pPr>
      <w:r>
        <w:rPr>
          <w:rFonts w:ascii="Arial" w:cs="Arial" w:eastAsia="Arial" w:hAnsi="Arial"/>
          <w:sz w:val="24"/>
          <w:szCs w:val="24"/>
        </w:rPr>
        <w:t xml:space="preserve">8. Отмена и признание конкурса несостоявшимся, недействительным</w:t>
      </w:r>
    </w:p>
    <w:p>
      <w:pPr>
        <w:spacing w:after="120"/>
        <w:jc w:val="both"/>
      </w:pPr>
      <w:r>
        <w:rPr>
          <w:rFonts w:ascii="Arial" w:cs="Arial" w:eastAsia="Arial" w:hAnsi="Arial"/>
          <w:sz w:val="24"/>
          <w:szCs w:val="24"/>
        </w:rPr>
        <w:t xml:space="preserve">36. До вынесения конкурсной комиссией решения об определении победителя, конкурс может быть отменен по решению Правительства Кыргызской Республики лишь в случае наступления форс-мажорных обстоятельств. В случае отмены проведения конкурса гарантийный взнос участника конкурса в размере 56440000 (пятьдесят шесть миллионов четыреста сорок тысяч) сомов возвращается.</w:t>
      </w:r>
    </w:p>
    <w:p>
      <w:pPr>
        <w:spacing w:after="120"/>
        <w:jc w:val="both"/>
      </w:pPr>
      <w:r>
        <w:rPr>
          <w:rFonts w:ascii="Arial" w:cs="Arial" w:eastAsia="Arial" w:hAnsi="Arial"/>
          <w:sz w:val="24"/>
          <w:szCs w:val="24"/>
        </w:rPr>
        <w:t xml:space="preserve">37. При отсутствии заявок на участие в конкурсе или если на участие в конкурсе поступила заявка только от одного участника, или если документы, поданные всеми участниками конкурса, не отвечают основным условиям и требованиям к участникам конкурса, конкурс признается несостоявшимся на основании решения конкурсной комиссии, оформляемого протоколом и публикуемого в средствах массовой информации и на официальных веб-сайтах Правительства Кыргызской Республики и Комитета.</w:t>
      </w:r>
    </w:p>
    <w:p>
      <w:pPr>
        <w:spacing w:after="120"/>
        <w:jc w:val="both"/>
      </w:pPr>
      <w:r>
        <w:rPr>
          <w:rFonts w:ascii="Arial" w:cs="Arial" w:eastAsia="Arial" w:hAnsi="Arial"/>
          <w:sz w:val="24"/>
          <w:szCs w:val="24"/>
        </w:rPr>
        <w:t xml:space="preserve">38. Конкурс может быть признан недействительным и результаты конкурса могут быть аннулированы судом по иску заинтересованного лица, в случае, если конкурс был проведен с нарушением настоящих Условий. В случае признания конкурса недействительным оплаченный победителем конкурса платеж за право пользования недрами объекта конкурса возвращается.</w:t>
      </w:r>
    </w:p>
    <w:p>
      <w:pPr>
        <w:spacing w:after="120"/>
        <w:jc w:val="both"/>
      </w:pPr>
      <w:r>
        <w:rPr>
          <w:rFonts w:ascii="Arial" w:cs="Arial" w:eastAsia="Arial" w:hAnsi="Arial"/>
          <w:sz w:val="24"/>
          <w:szCs w:val="24"/>
        </w:rPr>
        <w:t xml:space="preserve">39. Участник конкурса вправе отозвать свою заявку на участие в конкурсе до вынесения конкурсной комиссией решения об определении победителя. При этом плата за краткий пакет геологической информации в размере 750850 (семьсот пятьдесят тысяч восемьсот пятьдесят) сомов, плата за участие в конкурсе в размере 1000000 (один миллион) сомов и гарантийный взнос участника конкурса в размере 56440000 (пятьдесят шесть миллионов четыреста сорок тысяч) сомов не возвращается.</w:t>
      </w:r>
    </w:p>
    <w:p>
      <w:pPr>
        <w:spacing w:after="120"/>
        <w:jc w:val="both"/>
      </w:pPr>
      <w:r>
        <w:rPr>
          <w:rFonts w:ascii="Arial" w:cs="Arial" w:eastAsia="Arial" w:hAnsi="Arial"/>
          <w:sz w:val="24"/>
          <w:szCs w:val="24"/>
        </w:rPr>
        <w:t xml:space="preserve">С информацией можно ознакомиться на официальном веб-сайте Комитета: www.geology.kg, и по номерам телефонов: (+996 312) 30-03-71, 30-02-46.</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d_apvzoyp3ajw5yqeb5e">
      <w:r>
        <w:rPr>
          <w:rFonts w:ascii="Arial" w:cs="Arial" w:eastAsia="Arial" w:hAnsi="Arial"/>
          <w:color w:val="132D3F"/>
          <w:sz w:val="16"/>
          <w:szCs w:val="16"/>
          <w:u w:val="single"/>
        </w:rPr>
        <w:t xml:space="preserve">dalil.kg/document/215366</w:t>
      </w:r>
    </w:hyperlink>
  </w:p>
  <w:p>
    <w:pPr>
      <w:spacing w:after="0" w:before="40"/>
      <w:jc w:val="center"/>
    </w:pPr>
    <w:hyperlink w:history="1" r:id="rIdnsfzggcichs5snrdwjx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kx7kzkgrjv-q9tf01nb" Type="http://schemas.openxmlformats.org/officeDocument/2006/relationships/hyperlink" Target="https://dalil.kg/document/217671" TargetMode="External"/><Relationship Id="rIdolz3qnn7v7pwy55hki_fw" Type="http://schemas.openxmlformats.org/officeDocument/2006/relationships/hyperlink" Target="https://dalil.kg/document/203760" TargetMode="External"/><Relationship Id="rIdk2esiwcorgbdi5ip4lgde" Type="http://schemas.openxmlformats.org/officeDocument/2006/relationships/hyperlink" Target="https://dalil.kg/document/203685" TargetMode="External"/><Relationship Id="rIdud-mulsgz9uondtdqywhu" Type="http://schemas.openxmlformats.org/officeDocument/2006/relationships/hyperlink" Target="https://dalil.kg/document/215366#&#1088;1" TargetMode="External"/><Relationship Id="rIdjozli0dajqsp56qcoru7z" Type="http://schemas.openxmlformats.org/officeDocument/2006/relationships/hyperlink" Target="https://dalil.kg/document/215052" TargetMode="External"/><Relationship Id="rIdiuoff-wn1wlgvejurf7qu" Type="http://schemas.openxmlformats.org/officeDocument/2006/relationships/hyperlink" Target="https://dalil.kg/document/203760" TargetMode="External"/><Relationship Id="rIdnct3ms0gca5_977cmzufa" Type="http://schemas.openxmlformats.org/officeDocument/2006/relationships/hyperlink" Target="https://dalil.kg/document/93891" TargetMode="External"/><Relationship Id="rIdx2vbxfge0fteusaggiqyr" Type="http://schemas.openxmlformats.org/officeDocument/2006/relationships/hyperlink" Target="https://dalil.kg/document/93222" TargetMode="External"/><Relationship Id="rIdvbrpycjwmj97fferfjnv9" Type="http://schemas.openxmlformats.org/officeDocument/2006/relationships/hyperlink" Target="https://dalil.kg/document/202408" TargetMode="External"/><Relationship Id="rIdh-twx2y0fd1zoy8xnxizq" Type="http://schemas.openxmlformats.org/officeDocument/2006/relationships/hyperlink" Target="https://dalil.kg/document/202402" TargetMode="External"/><Relationship Id="rIdove6pmd4fnlcja4prwsbg" Type="http://schemas.openxmlformats.org/officeDocument/2006/relationships/hyperlink" Target="https://dalil.kg/document/202416" TargetMode="External"/><Relationship Id="rIdjgk4bx-oxhvk9nfod4-ag" Type="http://schemas.openxmlformats.org/officeDocument/2006/relationships/hyperlink" Target="https://dalil.kg/document/202403" TargetMode="External"/><Relationship Id="rIdzxk43wbd1su5a1cfvs52v" Type="http://schemas.openxmlformats.org/officeDocument/2006/relationships/hyperlink" Target="https://dalil.kg/document/111236" TargetMode="External"/><Relationship Id="rIdfjwgmlm2ji-7nw8o3-oo-" Type="http://schemas.openxmlformats.org/officeDocument/2006/relationships/hyperlink" Target="https://dalil.kg/document/203760" TargetMode="External"/><Relationship Id="rIddtrorvebt9ng4qcr2kuc_" Type="http://schemas.openxmlformats.org/officeDocument/2006/relationships/hyperlink" Target="https://dalil.kg/document/203760" TargetMode="External"/><Relationship Id="rIdntfewiy44p_ckrhpu3mor" Type="http://schemas.openxmlformats.org/officeDocument/2006/relationships/hyperlink" Target="https://dalil.kg/document/96235" TargetMode="External"/><Relationship Id="rIdqfg7cajgubsdxfcnr3f_j" Type="http://schemas.openxmlformats.org/officeDocument/2006/relationships/hyperlink" Target="https://dalil.kg/document/96234" TargetMode="External"/><Relationship Id="rIdzacymzrcpozj3hhdz0360" Type="http://schemas.openxmlformats.org/officeDocument/2006/relationships/hyperlink" Target="https://dalil.kg/document/93891" TargetMode="External"/><Relationship Id="rIdn9uli-hw8zxt594asccla" Type="http://schemas.openxmlformats.org/officeDocument/2006/relationships/hyperlink" Target="https://dalil.kg/document/9322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d_apvzoyp3ajw5yqeb5e" Type="http://schemas.openxmlformats.org/officeDocument/2006/relationships/hyperlink" Target="https://dalil.kg/document/215366" TargetMode="External"/><Relationship Id="rIdnsfzggcichs5snrdwjx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2026-09-25T05:40:50.969Z</dcterms:created>
  <dcterms:modified xsi:type="dcterms:W3CDTF">2026-09-25T05:40:50.969Z</dcterms:modified>
</cp:coreProperties>
</file>

<file path=docProps/custom.xml><?xml version="1.0" encoding="utf-8"?>
<Properties xmlns="http://schemas.openxmlformats.org/officeDocument/2006/custom-properties" xmlns:vt="http://schemas.openxmlformats.org/officeDocument/2006/docPropsVTypes"/>
</file>