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64 </w:t>
      </w:r>
      <w:hyperlink w:history="1" r:id="rIdklqn6c9fq5ghgltrtr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Республикасынын «О Национальном банке Кыргызской Республики, банках и банковской деятельности» назначить Айбалаеву Айнуру Маматовну на должность члена Правления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e6jzvavp2rr_4fiq7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dalil.kg/document/218008</w:t>
      </w:r>
    </w:hyperlink>
  </w:p>
  <w:p>
    <w:pPr>
      <w:spacing w:after="0" w:before="40"/>
      <w:jc w:val="center"/>
    </w:pPr>
    <w:hyperlink w:history="1" r:id="rIdcpaejkpa3u8wo--xuc4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qn6c9fq5ghgltrtrbdd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e6jzvavp2rr_4fiq7nw" Type="http://schemas.openxmlformats.org/officeDocument/2006/relationships/hyperlink" Target="https://dalil.kg/document/218008" TargetMode="External"/><Relationship Id="rIdcpaejkpa3u8wo--xuc4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2026-10-01T04:26:57.866Z</dcterms:created>
  <dcterms:modified xsi:type="dcterms:W3CDTF">2026-10-01T04:26:57.866Z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