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20 февраля 2020 года № 53-р</w:t>
      </w:r>
    </w:p>
    <w:p>
      <w:pPr>
        <w:spacing w:after="120"/>
        <w:jc w:val="both"/>
      </w:pPr>
      <w:r>
        <w:rPr>
          <w:rFonts w:ascii="Arial" w:cs="Arial" w:eastAsia="Arial" w:hAnsi="Arial"/>
          <w:sz w:val="24"/>
          <w:szCs w:val="24"/>
        </w:rPr>
        <w:t xml:space="preserve">В соответствии с </w:t>
      </w:r>
      <w:hyperlink w:history="1" r:id="rIdp1e1iuuw5f_ejflpj4lm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статьями </w:t>
      </w:r>
      <w:hyperlink w:history="1" r:id="rIdkznrpqon4buwema4wahus">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a2kels8z1xgvdofr7sbt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r>
        <w:rPr>
          <w:rFonts w:ascii="Arial" w:cs="Arial" w:eastAsia="Arial" w:hAnsi="Arial"/>
          <w:sz w:val="24"/>
          <w:szCs w:val="24"/>
        </w:rPr>
        <w:t xml:space="preserve">проект</w:t>
      </w:r>
      <w:r>
        <w:rPr>
          <w:rFonts w:ascii="Arial" w:cs="Arial" w:eastAsia="Arial" w:hAnsi="Arial"/>
          <w:sz w:val="24"/>
          <w:szCs w:val="24"/>
        </w:rPr>
        <w:t xml:space="preserve"> Письма-соглашения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 канализации и твердых отходов в Кыргызской Республике, подписанное 28 мая 2016 года в городе Бишкек.</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Письма-соглашения, указанного в пункте 1 настоящего распоряжения,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(FI № 83.457; Serapis № 2014 0105)</w:t>
      </w:r>
    </w:p>
    <w:p>
      <w:pPr>
        <w:spacing w:after="240" w:before="200"/>
        <w:jc w:val="center"/>
      </w:pPr>
      <w:r>
        <w:rPr>
          <w:rFonts w:ascii="Arial" w:cs="Arial" w:eastAsia="Arial" w:hAnsi="Arial"/>
          <w:b/>
          <w:bCs/>
          <w:sz w:val="32"/>
          <w:szCs w:val="32"/>
        </w:rPr>
        <w:t xml:space="preserve">ПИСЬМО-СОГЛАШЕНИЕ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 канализации и твердых отходов в Кыргызской Республике, подписанное 28 мая 2016 года в городе Бишкек</w:t>
      </w:r>
    </w:p>
    <w:p>
      <w:pPr>
        <w:spacing w:after="240" w:before="200"/>
        <w:jc w:val="center"/>
      </w:pPr>
      <w:r>
        <w:rPr>
          <w:rFonts w:ascii="Arial" w:cs="Arial" w:eastAsia="Arial" w:hAnsi="Arial"/>
          <w:b/>
          <w:bCs/>
          <w:sz w:val="32"/>
          <w:szCs w:val="32"/>
        </w:rPr>
        <w:t xml:space="preserve">Кредитное соглашение между Кыргызской Республикой ("Заемщик") и Европейским инвестиционным банком ("Банк") от 28 мая 2016 года ("Кредитное соглашение") с изменениями.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Письмо об изменениях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господа,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Мы ссылаемся на Кредитное соглашение. Термины, используемые с заглавной буквы, но не определенные в настоящем письме ("Письмо об изменениях"), имеют значения, данные им в Кредитном соглашении.</w:t>
      </w:r>
    </w:p>
    <w:p>
      <w:pPr>
        <w:spacing w:after="120"/>
        <w:jc w:val="both"/>
      </w:pPr>
      <w:r>
        <w:rPr>
          <w:rFonts w:ascii="Arial" w:cs="Arial" w:eastAsia="Arial" w:hAnsi="Arial"/>
          <w:sz w:val="24"/>
          <w:szCs w:val="24"/>
        </w:rPr>
        <w:t xml:space="preserve">Мы ссылаемся на наши обсуждения по внесению изменений в Кредитное соглашение с тем, чтобы Кредитное соглашение предусматривало следующее.</w:t>
      </w:r>
    </w:p>
    <w:p>
      <w:pPr>
        <w:spacing w:after="120"/>
        <w:jc w:val="both"/>
      </w:pPr>
      <w:r>
        <w:rPr>
          <w:rFonts w:ascii="Arial" w:cs="Arial" w:eastAsia="Arial" w:hAnsi="Arial"/>
          <w:sz w:val="24"/>
          <w:szCs w:val="24"/>
        </w:rPr>
        <w:t xml:space="preserve">Мы согласны внести изменения в Кредитное соглашение в соответствии с положениями и условиями, изложенными в настоящем документе.</w:t>
      </w:r>
    </w:p>
    <w:p>
      <w:pPr>
        <w:spacing w:after="240" w:before="200"/>
        <w:jc w:val="center"/>
      </w:pPr>
      <w:r>
        <w:rPr>
          <w:rFonts w:ascii="Arial" w:cs="Arial" w:eastAsia="Arial" w:hAnsi="Arial"/>
          <w:b/>
          <w:bCs/>
          <w:sz w:val="32"/>
          <w:szCs w:val="32"/>
        </w:rPr>
        <w:t xml:space="preserve">1. Изменение</w:t>
      </w:r>
    </w:p>
    <w:p>
      <w:pPr>
        <w:spacing w:after="120"/>
        <w:jc w:val="both"/>
      </w:pPr>
      <w:r>
        <w:rPr>
          <w:rFonts w:ascii="Arial" w:cs="Arial" w:eastAsia="Arial" w:hAnsi="Arial"/>
          <w:sz w:val="24"/>
          <w:szCs w:val="24"/>
        </w:rPr>
        <w:t xml:space="preserve">Начиная с Даты вступления в силу, Кредитное соглашение изменяется следующим образом:</w:t>
      </w:r>
    </w:p>
    <w:p>
      <w:pPr>
        <w:spacing w:after="120"/>
        <w:jc w:val="both"/>
      </w:pPr>
      <w:r>
        <w:rPr>
          <w:rFonts w:ascii="Arial" w:cs="Arial" w:eastAsia="Arial" w:hAnsi="Arial"/>
          <w:sz w:val="24"/>
          <w:szCs w:val="24"/>
        </w:rPr>
        <w:t xml:space="preserve">1.1. Статья 1.04С (Конкретные условия предоставления средств) трактуется следующим образом:</w:t>
      </w:r>
    </w:p>
    <w:p>
      <w:pPr>
        <w:spacing w:after="120"/>
        <w:jc w:val="both"/>
      </w:pPr>
      <w:r>
        <w:rPr>
          <w:rFonts w:ascii="Arial" w:cs="Arial" w:eastAsia="Arial" w:hAnsi="Arial"/>
          <w:sz w:val="24"/>
          <w:szCs w:val="24"/>
        </w:rPr>
        <w:t xml:space="preserve">"1.04С. Конкретные условия предоставления средств.</w:t>
      </w:r>
    </w:p>
    <w:p>
      <w:pPr>
        <w:spacing w:after="120"/>
        <w:jc w:val="both"/>
      </w:pPr>
      <w:r>
        <w:rPr>
          <w:rFonts w:ascii="Arial" w:cs="Arial" w:eastAsia="Arial" w:hAnsi="Arial"/>
          <w:sz w:val="24"/>
          <w:szCs w:val="24"/>
        </w:rPr>
        <w:t xml:space="preserve">Без ущерба для статей 1.04А и 1.04В, предоставление траншей, которые будут использованы полностью или частично в связи с Ошской схемой утилизации твердых отходов, дополнительно обусловлены получением Банком приемлемой для него формы и содержания, в день или до 7 (семи) рабочих дней до запланированной даты выдачи плана закрытия и восстановления свалки Ошской схемы утилизации твердых отходов.</w:t>
      </w:r>
    </w:p>
    <w:p>
      <w:pPr>
        <w:spacing w:after="120"/>
        <w:jc w:val="both"/>
      </w:pPr>
      <w:r>
        <w:rPr>
          <w:rFonts w:ascii="Arial" w:cs="Arial" w:eastAsia="Arial" w:hAnsi="Arial"/>
          <w:sz w:val="24"/>
          <w:szCs w:val="24"/>
        </w:rPr>
        <w:t xml:space="preserve">Во избежание сомнений, вышеуказанные условия не обязывают Заемщика выделять какие-либо средства на Ошскую схему утилизации твердых отходов и применимы только в том случае, если соответствующий транш будет использован полностью или частично в связи с Ошской схемой обращения с твердыми отходами".</w:t>
      </w:r>
    </w:p>
    <w:p>
      <w:pPr>
        <w:spacing w:after="120"/>
        <w:jc w:val="both"/>
      </w:pPr>
      <w:r>
        <w:rPr>
          <w:rFonts w:ascii="Arial" w:cs="Arial" w:eastAsia="Arial" w:hAnsi="Arial"/>
          <w:sz w:val="24"/>
          <w:szCs w:val="24"/>
        </w:rPr>
        <w:t xml:space="preserve">1.2. Статья 6.05 (i) и любые другие ссылки на Джалал-Абадскую схему обращения с твердыми отходами должны быть удалены.</w:t>
      </w:r>
    </w:p>
    <w:p>
      <w:pPr>
        <w:spacing w:after="120"/>
        <w:jc w:val="both"/>
      </w:pPr>
      <w:r>
        <w:rPr>
          <w:rFonts w:ascii="Arial" w:cs="Arial" w:eastAsia="Arial" w:hAnsi="Arial"/>
          <w:sz w:val="24"/>
          <w:szCs w:val="24"/>
        </w:rPr>
        <w:t xml:space="preserve">1.3. Статья 12.04 (Эффективность настоящего Соглашения) должна гласить следующее:</w:t>
      </w:r>
    </w:p>
    <w:p>
      <w:pPr>
        <w:spacing w:after="120"/>
        <w:jc w:val="both"/>
      </w:pPr>
      <w:r>
        <w:rPr>
          <w:rFonts w:ascii="Arial" w:cs="Arial" w:eastAsia="Arial" w:hAnsi="Arial"/>
          <w:sz w:val="24"/>
          <w:szCs w:val="24"/>
        </w:rPr>
        <w:t xml:space="preserve">"12.4. Действительность настоящего Соглашения</w:t>
      </w:r>
    </w:p>
    <w:p>
      <w:pPr>
        <w:spacing w:after="120"/>
        <w:jc w:val="both"/>
      </w:pPr>
      <w:r>
        <w:rPr>
          <w:rFonts w:ascii="Arial" w:cs="Arial" w:eastAsia="Arial" w:hAnsi="Arial"/>
          <w:sz w:val="24"/>
          <w:szCs w:val="24"/>
        </w:rPr>
        <w:t xml:space="preserve">Настоящее Соглашение обусловлено и вступает в силу только после его получения Банком в приемлемой для Банка форме и по существу:</w:t>
      </w:r>
    </w:p>
    <w:p>
      <w:pPr>
        <w:spacing w:after="120"/>
        <w:jc w:val="both"/>
      </w:pPr>
      <w:r>
        <w:rPr>
          <w:rFonts w:ascii="Arial" w:cs="Arial" w:eastAsia="Arial" w:hAnsi="Arial"/>
          <w:sz w:val="24"/>
          <w:szCs w:val="24"/>
        </w:rPr>
        <w:t xml:space="preserve">(a) официальное уведомление о выполнении Кыргызской Республикой внутренних процедур, необходимых для вступления в силу настоящего Соглашения или иного документа, согласованного между Заемщиком и Банком, и</w:t>
      </w:r>
    </w:p>
    <w:p>
      <w:pPr>
        <w:spacing w:after="120"/>
        <w:jc w:val="both"/>
      </w:pPr>
      <w:r>
        <w:rPr>
          <w:rFonts w:ascii="Arial" w:cs="Arial" w:eastAsia="Arial" w:hAnsi="Arial"/>
          <w:sz w:val="24"/>
          <w:szCs w:val="24"/>
        </w:rPr>
        <w:t xml:space="preserve">(b) официальное подтверждение Кыргызской Республики о том, что все действия, необходимые для вступления Проекта в силу от имени Заемщика, были завершены и что настоящее Соглашение было должным образом санкционировано, подписано и передано Заемщику и (включая соответствующий выбор правового пункта и арбитражного пункта) является юридически действительным, осуществимым и обязательным для исполнения обязательств Заемщика, подлежащих исполнению в соответствии с его соответствующими положениями и условиями.</w:t>
      </w:r>
    </w:p>
    <w:p>
      <w:pPr>
        <w:spacing w:after="120"/>
        <w:jc w:val="both"/>
      </w:pPr>
      <w:r>
        <w:rPr>
          <w:rFonts w:ascii="Arial" w:cs="Arial" w:eastAsia="Arial" w:hAnsi="Arial"/>
          <w:sz w:val="24"/>
          <w:szCs w:val="24"/>
        </w:rPr>
        <w:t xml:space="preserve">Настоящее Соглашение вступает в силу 30 июня 2020 года. Настоящее Соглашение вступает в силу только после того, как Банк направит Заемщику письмо, подтверждающее выполнение условий, изложенных в пунктах (а) и (b), и указывающее дату вступления в силу настоящего Соглашения ("Дата вступления в силу"). Такое письмо является убедительным доказательством того, что Настоящее Соглашение вступило в силу.".</w:t>
      </w:r>
    </w:p>
    <w:p>
      <w:pPr>
        <w:spacing w:after="120"/>
        <w:jc w:val="both"/>
      </w:pPr>
      <w:r>
        <w:rPr>
          <w:rFonts w:ascii="Arial" w:cs="Arial" w:eastAsia="Arial" w:hAnsi="Arial"/>
          <w:sz w:val="24"/>
          <w:szCs w:val="24"/>
        </w:rPr>
        <w:t xml:space="preserve">1.4. Пункты 12.01 и 12.02 Статьи 12 (Заключительные пункты) Кредитного соглашения трактуются следующим образом:</w:t>
      </w:r>
    </w:p>
    <w:p>
      <w:pPr>
        <w:spacing w:after="120"/>
        <w:jc w:val="both"/>
      </w:pPr>
      <w:r>
        <w:rPr>
          <w:rFonts w:ascii="Arial" w:cs="Arial" w:eastAsia="Arial" w:hAnsi="Arial"/>
          <w:sz w:val="24"/>
          <w:szCs w:val="24"/>
        </w:rPr>
        <w:t xml:space="preserve">"12.01. Уведомления</w:t>
      </w:r>
    </w:p>
    <w:p>
      <w:pPr>
        <w:spacing w:after="120"/>
        <w:jc w:val="both"/>
      </w:pPr>
      <w:r>
        <w:rPr>
          <w:rFonts w:ascii="Arial" w:cs="Arial" w:eastAsia="Arial" w:hAnsi="Arial"/>
          <w:sz w:val="24"/>
          <w:szCs w:val="24"/>
        </w:rPr>
        <w:t xml:space="preserve">(a) Любое уведомление или иное сообщение, предоставляемое в соответствии с настоящим Соглашением, должно быть в письменной форме и, если не указано иное, может быть сделано письмом, электронной почтой и факсимильной связью.</w:t>
      </w:r>
    </w:p>
    <w:p>
      <w:pPr>
        <w:spacing w:after="120"/>
        <w:jc w:val="both"/>
      </w:pPr>
      <w:r>
        <w:rPr>
          <w:rFonts w:ascii="Arial" w:cs="Arial" w:eastAsia="Arial" w:hAnsi="Arial"/>
          <w:sz w:val="24"/>
          <w:szCs w:val="24"/>
        </w:rPr>
        <w:t xml:space="preserve">(b) Уведомления и другие сообщения, для которых в настоящем Соглашении установлены фиксированные сроки или которые сами устанавливают обязательные для адресата сроки, могут осуществляться личным вручением, заказным письмом, факсимильной связью или электронной почтой. Такие уведомления и сообщения считаются полученными другой стороной:</w:t>
      </w:r>
    </w:p>
    <w:p>
      <w:pPr>
        <w:spacing w:after="120"/>
        <w:jc w:val="both"/>
      </w:pPr>
      <w:r>
        <w:rPr>
          <w:rFonts w:ascii="Arial" w:cs="Arial" w:eastAsia="Arial" w:hAnsi="Arial"/>
          <w:sz w:val="24"/>
          <w:szCs w:val="24"/>
        </w:rPr>
        <w:t xml:space="preserve">(i) в день доставки, в случае личного вручения или заказного письма;</w:t>
      </w:r>
    </w:p>
    <w:p>
      <w:pPr>
        <w:spacing w:after="120"/>
        <w:jc w:val="both"/>
      </w:pPr>
      <w:r>
        <w:rPr>
          <w:rFonts w:ascii="Arial" w:cs="Arial" w:eastAsia="Arial" w:hAnsi="Arial"/>
          <w:sz w:val="24"/>
          <w:szCs w:val="24"/>
        </w:rPr>
        <w:t xml:space="preserve">(ii) при получении сообщения, в случае факсимильной связи;</w:t>
      </w:r>
    </w:p>
    <w:p>
      <w:pPr>
        <w:spacing w:after="120"/>
        <w:jc w:val="both"/>
      </w:pPr>
      <w:r>
        <w:rPr>
          <w:rFonts w:ascii="Arial" w:cs="Arial" w:eastAsia="Arial" w:hAnsi="Arial"/>
          <w:sz w:val="24"/>
          <w:szCs w:val="24"/>
        </w:rPr>
        <w:t xml:space="preserve">(iii) в случае любой электронной почты, отправленной Заемщиком Банку, только тогда, когда она была фактически получена в читабельной форме и только тогда, когда она адресована таким образом, как Банк указал для этой цели, или</w:t>
      </w:r>
    </w:p>
    <w:p>
      <w:pPr>
        <w:spacing w:after="120"/>
        <w:jc w:val="both"/>
      </w:pPr>
      <w:r>
        <w:rPr>
          <w:rFonts w:ascii="Arial" w:cs="Arial" w:eastAsia="Arial" w:hAnsi="Arial"/>
          <w:sz w:val="24"/>
          <w:szCs w:val="24"/>
        </w:rPr>
        <w:t xml:space="preserve">(iv) в случае любой электронной почты, отправленной Банком Заемщику, когда электронная почта отправлена.</w:t>
      </w:r>
    </w:p>
    <w:p>
      <w:pPr>
        <w:spacing w:after="120"/>
        <w:jc w:val="both"/>
      </w:pPr>
      <w:r>
        <w:rPr>
          <w:rFonts w:ascii="Arial" w:cs="Arial" w:eastAsia="Arial" w:hAnsi="Arial"/>
          <w:sz w:val="24"/>
          <w:szCs w:val="24"/>
        </w:rPr>
        <w:t xml:space="preserve">(c) Любое уведомление, направленное Заемщиком Банку по электронной почте, должно:</w:t>
      </w:r>
    </w:p>
    <w:p>
      <w:pPr>
        <w:spacing w:after="120"/>
        <w:jc w:val="both"/>
      </w:pPr>
      <w:r>
        <w:rPr>
          <w:rFonts w:ascii="Arial" w:cs="Arial" w:eastAsia="Arial" w:hAnsi="Arial"/>
          <w:sz w:val="24"/>
          <w:szCs w:val="24"/>
        </w:rPr>
        <w:t xml:space="preserve">(i) указывать Номер Соглашения в строке тематики; и</w:t>
      </w:r>
    </w:p>
    <w:p>
      <w:pPr>
        <w:spacing w:after="120"/>
        <w:jc w:val="both"/>
      </w:pPr>
      <w:r>
        <w:rPr>
          <w:rFonts w:ascii="Arial" w:cs="Arial" w:eastAsia="Arial" w:hAnsi="Arial"/>
          <w:sz w:val="24"/>
          <w:szCs w:val="24"/>
        </w:rPr>
        <w:t xml:space="preserve">(ii) быть в виде не редактируемого электронного изображения (pdf, tif или другого согласованного сторонами общего не редактируемого формата файла) уведомления, подписанного уполномоченным лицом с правом индивидуального представительства или двумя, или более уполномоченными лицами с правом совместного представительства Заемщика, надлежащим образом, прилагаемого к электронной почте.</w:t>
      </w:r>
    </w:p>
    <w:p>
      <w:pPr>
        <w:spacing w:after="120"/>
        <w:jc w:val="both"/>
      </w:pPr>
      <w:r>
        <w:rPr>
          <w:rFonts w:ascii="Arial" w:cs="Arial" w:eastAsia="Arial" w:hAnsi="Arial"/>
          <w:sz w:val="24"/>
          <w:szCs w:val="24"/>
        </w:rPr>
        <w:t xml:space="preserve">(d) Уведомления, выданные Заемщиком в соответствии с любым положением настоящего Соглашения, должны быть, если того требует Банк, вручены Банку вместе с удовлетворительными доказательствами полномочий лица или лиц, уполномоченных подписывать такие уведомления от имени Заемщика, и образцом заверенной подписи этого лица или лиц.</w:t>
      </w:r>
    </w:p>
    <w:p>
      <w:pPr>
        <w:spacing w:after="120"/>
        <w:jc w:val="both"/>
      </w:pPr>
      <w:r>
        <w:rPr>
          <w:rFonts w:ascii="Arial" w:cs="Arial" w:eastAsia="Arial" w:hAnsi="Arial"/>
          <w:sz w:val="24"/>
          <w:szCs w:val="24"/>
        </w:rPr>
        <w:t xml:space="preserve">(e) Без ущерба для действительности уведомлений по электронной почте или факсу, или сообщений, сделанных в соответствии с настоящей статьей 12.01, следующие уведомления, сообщения и документы также должны быть отправлены заказным письмом соответствующей стороне не позднее, чем на непосредственно следующий Рабочий день:</w:t>
      </w:r>
    </w:p>
    <w:p>
      <w:pPr>
        <w:spacing w:after="120"/>
        <w:jc w:val="both"/>
      </w:pPr>
      <w:r>
        <w:rPr>
          <w:rFonts w:ascii="Arial" w:cs="Arial" w:eastAsia="Arial" w:hAnsi="Arial"/>
          <w:sz w:val="24"/>
          <w:szCs w:val="24"/>
        </w:rPr>
        <w:t xml:space="preserve">(i) принятие платежей;</w:t>
      </w:r>
    </w:p>
    <w:p>
      <w:pPr>
        <w:spacing w:after="120"/>
        <w:jc w:val="both"/>
      </w:pPr>
      <w:r>
        <w:rPr>
          <w:rFonts w:ascii="Arial" w:cs="Arial" w:eastAsia="Arial" w:hAnsi="Arial"/>
          <w:sz w:val="24"/>
          <w:szCs w:val="24"/>
        </w:rPr>
        <w:t xml:space="preserve">(ii) любые уведомления и сообщения в отношении отсрочки, отмены и приостановления выплаты любого Транша, События нарушения функционирования рынка, Запроса на предоплату, Уведомления о предоплате, События невыполнения обязательств, Требования предоплаты, и</w:t>
      </w:r>
    </w:p>
    <w:p>
      <w:pPr>
        <w:spacing w:after="120"/>
        <w:jc w:val="both"/>
      </w:pPr>
      <w:r>
        <w:rPr>
          <w:rFonts w:ascii="Arial" w:cs="Arial" w:eastAsia="Arial" w:hAnsi="Arial"/>
          <w:sz w:val="24"/>
          <w:szCs w:val="24"/>
        </w:rPr>
        <w:t xml:space="preserve">(iii) любое другое уведомление, сообщение или документ, требуемый Банком.</w:t>
      </w:r>
    </w:p>
    <w:p>
      <w:pPr>
        <w:spacing w:after="120"/>
        <w:jc w:val="both"/>
      </w:pPr>
      <w:r>
        <w:rPr>
          <w:rFonts w:ascii="Arial" w:cs="Arial" w:eastAsia="Arial" w:hAnsi="Arial"/>
          <w:sz w:val="24"/>
          <w:szCs w:val="24"/>
        </w:rPr>
        <w:t xml:space="preserve">(f) Стороны соглашаются, что любое вышеуказанное сообщение (в том числе по электронной почте) является приемлемой формой сообщения, представляет собой приемлемое доказательство в суде и имеет такую же доказательственную силу, как и данное соглашение (незасвидетельствованный договор).</w:t>
      </w:r>
    </w:p>
    <w:p>
      <w:pPr>
        <w:spacing w:after="120"/>
        <w:jc w:val="both"/>
      </w:pPr>
      <w:r>
        <w:rPr>
          <w:rFonts w:ascii="Arial" w:cs="Arial" w:eastAsia="Arial" w:hAnsi="Arial"/>
          <w:sz w:val="24"/>
          <w:szCs w:val="24"/>
        </w:rPr>
        <w:t xml:space="preserve">12.02. Адреса</w:t>
      </w:r>
    </w:p>
    <w:p>
      <w:pPr>
        <w:spacing w:after="120"/>
        <w:jc w:val="both"/>
      </w:pPr>
      <w:r>
        <w:rPr>
          <w:rFonts w:ascii="Arial" w:cs="Arial" w:eastAsia="Arial" w:hAnsi="Arial"/>
          <w:sz w:val="24"/>
          <w:szCs w:val="24"/>
        </w:rPr>
        <w:t xml:space="preserve">Адрес, номер факса и адрес электронной почты (а также адрес отдела или должностного лица, если таковые имеются, для сведения которого должно быть сделано сообщение) каждой из сторон для передачи любого сообщения или документа, подлежащего доставке в соответствии с или в связи с настоящим Соглашением: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3"/>
        <w:gridCol w:w="5895"/>
      </w:tblGrid>
      <w:tr>
        <w:tc>
          <w:tcPr>
            <w:tcW w:type="dxa" w:w="42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Банка</w:t>
            </w:r>
          </w:p>
        </w:tc>
        <w:tc>
          <w:tcPr>
            <w:tcW w:type="dxa" w:w="5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Заемщика</w:t>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Вниманию: Ops NC 2</w:t>
            </w:r>
          </w:p>
          <w:p>
            <w:pPr>
              <w:jc w:val="left"/>
            </w:pPr>
            <w:r>
              <w:rPr>
                <w:rFonts w:ascii="Arial" w:cs="Arial" w:eastAsia="Arial" w:hAnsi="Arial"/>
                <w:sz w:val="24"/>
                <w:szCs w:val="24"/>
              </w:rPr>
              <w:t xml:space="preserve">100 бульвар Конрад Аденауэр</w:t>
            </w:r>
          </w:p>
          <w:p>
            <w:pPr>
              <w:jc w:val="left"/>
            </w:pPr>
            <w:r>
              <w:rPr>
                <w:rFonts w:ascii="Arial" w:cs="Arial" w:eastAsia="Arial" w:hAnsi="Arial"/>
                <w:sz w:val="24"/>
                <w:szCs w:val="24"/>
              </w:rPr>
              <w:t xml:space="preserve">L-2950 Люксембург</w:t>
            </w:r>
          </w:p>
          <w:p>
            <w:pPr>
              <w:jc w:val="left"/>
            </w:pPr>
            <w:r>
              <w:rPr>
                <w:rFonts w:ascii="Arial" w:cs="Arial" w:eastAsia="Arial" w:hAnsi="Arial"/>
                <w:sz w:val="24"/>
                <w:szCs w:val="24"/>
              </w:rPr>
              <w:t xml:space="preserve">Адрес электронной почты: ops-nc2-projects@eib.org</w:t>
            </w:r>
          </w:p>
        </w:tc>
        <w:tc>
          <w:tcPr>
            <w:tcW w:type="dxa" w:w="5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Вниманию: Управление международного сотрудничества, Министерство финансов Кыргызской Республики</w:t>
            </w:r>
          </w:p>
          <w:p>
            <w:pPr>
              <w:jc w:val="left"/>
            </w:pPr>
            <w:r>
              <w:rPr>
                <w:rFonts w:ascii="Arial" w:cs="Arial" w:eastAsia="Arial" w:hAnsi="Arial"/>
                <w:sz w:val="24"/>
                <w:szCs w:val="24"/>
              </w:rPr>
              <w:t xml:space="preserve">Кыргызская Республика 720040,</w:t>
            </w:r>
          </w:p>
          <w:p>
            <w:pPr>
              <w:jc w:val="left"/>
            </w:pPr>
            <w:r>
              <w:rPr>
                <w:rFonts w:ascii="Arial" w:cs="Arial" w:eastAsia="Arial" w:hAnsi="Arial"/>
                <w:sz w:val="24"/>
                <w:szCs w:val="24"/>
              </w:rPr>
              <w:t xml:space="preserve">г.Бишкек, Бульвар Эркиндик, 58</w:t>
            </w:r>
          </w:p>
          <w:p>
            <w:pPr>
              <w:jc w:val="left"/>
            </w:pPr>
            <w:r>
              <w:rPr>
                <w:rFonts w:ascii="Arial" w:cs="Arial" w:eastAsia="Arial" w:hAnsi="Arial"/>
                <w:sz w:val="24"/>
                <w:szCs w:val="24"/>
              </w:rPr>
              <w:t xml:space="preserve">Адрес электронной почты: minfin@minfin.kg</w:t>
            </w:r>
          </w:p>
        </w:tc>
      </w:tr>
    </w:tbl>
    <w:p>
      <w:pPr>
        <w:spacing w:after="120"/>
        <w:jc w:val="both"/>
      </w:pPr>
      <w:r>
        <w:rPr>
          <w:rFonts w:ascii="Arial" w:cs="Arial" w:eastAsia="Arial" w:hAnsi="Arial"/>
          <w:sz w:val="24"/>
          <w:szCs w:val="24"/>
        </w:rPr>
        <w:t xml:space="preserve">Уведомление о реквизитах связи.</w:t>
      </w:r>
    </w:p>
    <w:p>
      <w:pPr>
        <w:spacing w:after="120"/>
        <w:jc w:val="both"/>
      </w:pPr>
      <w:r>
        <w:rPr>
          <w:rFonts w:ascii="Arial" w:cs="Arial" w:eastAsia="Arial" w:hAnsi="Arial"/>
          <w:sz w:val="24"/>
          <w:szCs w:val="24"/>
        </w:rPr>
        <w:t xml:space="preserve">Банк и Заемщик обязаны незамедлительно письменно уведомлять другую сторону об изменении своих реквизитов связи.".</w:t>
      </w:r>
    </w:p>
    <w:p>
      <w:pPr>
        <w:spacing w:after="120"/>
        <w:jc w:val="both"/>
      </w:pPr>
      <w:r>
        <w:rPr>
          <w:rFonts w:ascii="Arial" w:cs="Arial" w:eastAsia="Arial" w:hAnsi="Arial"/>
          <w:sz w:val="24"/>
          <w:szCs w:val="24"/>
        </w:rPr>
        <w:t xml:space="preserve">1.5. Приложение В "Определение EURIBOR" в том виде, в котором оно прилагается здесь, заменяет Приложение В к Кредитному соглашению.</w:t>
      </w:r>
    </w:p>
    <w:p>
      <w:pPr>
        <w:spacing w:after="120"/>
        <w:jc w:val="both"/>
      </w:pPr>
      <w:r>
        <w:rPr>
          <w:rFonts w:ascii="Arial" w:cs="Arial" w:eastAsia="Arial" w:hAnsi="Arial"/>
          <w:sz w:val="24"/>
          <w:szCs w:val="24"/>
        </w:rPr>
        <w:t xml:space="preserve">Во избежание сомнений, все остальные положения Кредитного соглашения:</w:t>
      </w:r>
    </w:p>
    <w:p>
      <w:pPr>
        <w:spacing w:after="120"/>
        <w:jc w:val="both"/>
      </w:pPr>
      <w:r>
        <w:rPr>
          <w:rFonts w:ascii="Arial" w:cs="Arial" w:eastAsia="Arial" w:hAnsi="Arial"/>
          <w:sz w:val="24"/>
          <w:szCs w:val="24"/>
        </w:rPr>
        <w:t xml:space="preserve">(i) остаются в полной силе, действии и действительны; и</w:t>
      </w:r>
    </w:p>
    <w:p>
      <w:pPr>
        <w:spacing w:after="120"/>
        <w:jc w:val="both"/>
      </w:pPr>
      <w:r>
        <w:rPr>
          <w:rFonts w:ascii="Arial" w:cs="Arial" w:eastAsia="Arial" w:hAnsi="Arial"/>
          <w:sz w:val="24"/>
          <w:szCs w:val="24"/>
        </w:rPr>
        <w:t xml:space="preserve">(ii) применяются без каких-либо оговорок или ограничений, несмотря на выраженное здесь согласие.</w:t>
      </w:r>
    </w:p>
    <w:p>
      <w:pPr>
        <w:spacing w:after="240" w:before="200"/>
        <w:jc w:val="center"/>
      </w:pPr>
      <w:r>
        <w:rPr>
          <w:rFonts w:ascii="Arial" w:cs="Arial" w:eastAsia="Arial" w:hAnsi="Arial"/>
          <w:b/>
          <w:bCs/>
          <w:sz w:val="32"/>
          <w:szCs w:val="32"/>
        </w:rPr>
        <w:t xml:space="preserve">2. Общее</w:t>
      </w:r>
    </w:p>
    <w:p>
      <w:pPr>
        <w:spacing w:after="120"/>
        <w:jc w:val="both"/>
      </w:pPr>
      <w:r>
        <w:rPr>
          <w:rFonts w:ascii="Arial" w:cs="Arial" w:eastAsia="Arial" w:hAnsi="Arial"/>
          <w:sz w:val="24"/>
          <w:szCs w:val="24"/>
        </w:rPr>
        <w:t xml:space="preserve">Настоящее Письмо регулируется и толкуется в соответствии с правом Англии. Положения Статьи 11.01 (регулирующее право) и Статьи 11.02 (Арбитраж) Кредитного соглашения настоящим включаются в настоящее письмо и становятся его частью, как если бы оно содержалось полностью, с учетом соответствующих изменений и (без ущерба для общего характера), как если бы в нем ссылка на "настоящее Соглашение" была на "настоящее Письмо".</w:t>
      </w:r>
    </w:p>
    <w:p>
      <w:pPr>
        <w:spacing w:after="120"/>
        <w:jc w:val="both"/>
      </w:pPr>
      <w:r>
        <w:rPr>
          <w:rFonts w:ascii="Arial" w:cs="Arial" w:eastAsia="Arial" w:hAnsi="Arial"/>
          <w:sz w:val="24"/>
          <w:szCs w:val="24"/>
        </w:rPr>
        <w:t xml:space="preserve">Лицо, не являющееся стороной настоящего письма, не имеет права в соответствии с Законом 1999 года о соглашениях (правах третьих сторон) приводить в исполнение или пользоваться преимуществами любого из условий настоящего письма.</w:t>
      </w:r>
    </w:p>
    <w:p>
      <w:pPr>
        <w:spacing w:after="120"/>
        <w:jc w:val="both"/>
      </w:pPr>
      <w:r>
        <w:rPr>
          <w:rFonts w:ascii="Arial" w:cs="Arial" w:eastAsia="Arial" w:hAnsi="Arial"/>
          <w:sz w:val="24"/>
          <w:szCs w:val="24"/>
        </w:rPr>
        <w:t xml:space="preserve">Несмотря ни на что иное, ничто в настоящем Письме об изменениях или соглашении, заключенном в результате его принятия Заемщиком, не представляет собой освобождение, отказ или иное изменение каких-либо иммунитетов, привилегий или исключений Банка.</w:t>
      </w:r>
    </w:p>
    <w:p>
      <w:pPr>
        <w:spacing w:after="120"/>
        <w:jc w:val="both"/>
      </w:pPr>
      <w:r>
        <w:rPr>
          <w:rFonts w:ascii="Arial" w:cs="Arial" w:eastAsia="Arial" w:hAnsi="Arial"/>
          <w:sz w:val="24"/>
          <w:szCs w:val="24"/>
        </w:rPr>
        <w:t xml:space="preserve">В соответствии с настоящим Письмом об изменениях не дается никаких разрешений, исключений или изменений в отношении любого нарушения или невыполнения обязательств (каким бы то ни было образом) по Кредитному соглашению, которое может возникнуть в результате любых других обстоятельств в любое время, за исключением случаев, специально оговоренных в настоящем Письме.</w:t>
      </w:r>
    </w:p>
    <w:p>
      <w:pPr>
        <w:spacing w:after="120"/>
        <w:jc w:val="both"/>
      </w:pPr>
      <w:r>
        <w:rPr>
          <w:rFonts w:ascii="Arial" w:cs="Arial" w:eastAsia="Arial" w:hAnsi="Arial"/>
          <w:sz w:val="24"/>
          <w:szCs w:val="24"/>
        </w:rPr>
        <w:t xml:space="preserve">Соглашение сторон, содержащееся в настоящем Письме об изменениях, применяется только к вопросам, конкретно упомянутым в нем. Такое соглашение не ущемляет прав, которыми Банк или Заемщик может обладать в настоящее время или в дальнейшем в отношении любых других обстоятельств или вопросов, кроме вопросов, конкретно указанных здесь (и существуют ли они на настоящую дату или нет).</w:t>
      </w:r>
    </w:p>
    <w:p>
      <w:pPr>
        <w:spacing w:after="120"/>
        <w:jc w:val="both"/>
      </w:pPr>
      <w:r>
        <w:rPr>
          <w:rFonts w:ascii="Arial" w:cs="Arial" w:eastAsia="Arial" w:hAnsi="Arial"/>
          <w:sz w:val="24"/>
          <w:szCs w:val="24"/>
        </w:rPr>
        <w:t xml:space="preserve">Банк не будет взимать комиссию за внесение изменений в вышеупомянутое предложенное изменение.</w:t>
      </w:r>
    </w:p>
    <w:p>
      <w:pPr>
        <w:spacing w:after="120"/>
        <w:jc w:val="both"/>
      </w:pPr>
      <w:r>
        <w:rPr>
          <w:rFonts w:ascii="Arial" w:cs="Arial" w:eastAsia="Arial" w:hAnsi="Arial"/>
          <w:sz w:val="24"/>
          <w:szCs w:val="24"/>
        </w:rPr>
        <w:t xml:space="preserve">Изменения, изложенные в настоящем Письме, вступают в силу с даты ("Дата вступления в силу") уведомления Банка о том, что он получил оригиналы настоящего Письма об изменении, подписанные надлежащим образом в ответ.</w:t>
      </w:r>
    </w:p>
    <w:p>
      <w:pPr>
        <w:spacing w:after="120"/>
        <w:jc w:val="both"/>
      </w:pPr>
      <w:r>
        <w:rPr>
          <w:rFonts w:ascii="Arial" w:cs="Arial" w:eastAsia="Arial" w:hAnsi="Arial"/>
          <w:sz w:val="24"/>
          <w:szCs w:val="24"/>
        </w:rPr>
        <w:t xml:space="preserve">Пожалуйста, укажите свое согласие с вышеизложенным, поставив инициалы на все страницы настоящего Письма об изменениях, а также подписями и датировками каждого из четырех (4) оригиналов настоящего Письма об изменениях. Затем, пожалуйста, организуйте возврат Банку заказным письмом или курьерской службой двух должным образом подписанных оригиналов вместе с копиями полномочий на подписание лиц, подписывающих документы от имени Заемщика, с пометкой для сведения г-жи Кинга Сольтез.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Искренне ваш,</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ЕВРОПЕЙСКИЙ ИНВЕСТИЦИОННЫЙ БАНК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Согласованно и подтверждено</w:t>
      </w:r>
    </w:p>
    <w:p>
      <w:pPr>
        <w:tabs>
          <w:tab w:val="right" w:pos="10178"/>
        </w:tabs>
        <w:spacing w:after="120"/>
      </w:pPr>
      <w:r>
        <w:rPr>
          <w:rFonts w:ascii="Arial" w:cs="Arial" w:eastAsia="Arial" w:hAnsi="Arial"/>
          <w:sz w:val="24"/>
          <w:szCs w:val="24"/>
        </w:rPr>
        <w:t xml:space="preserve">Якопо ЛЕНСИ ОРЛАНДИ</w:t>
      </w:r>
      <w:r>
        <w:rPr>
          <w:rFonts w:ascii="Arial" w:cs="Arial" w:eastAsia="Arial" w:hAnsi="Arial"/>
          <w:sz w:val="24"/>
          <w:szCs w:val="24"/>
        </w:rPr>
        <w:t xml:space="preserve">	</w:t>
      </w:r>
      <w:r>
        <w:rPr>
          <w:rFonts w:ascii="Arial" w:cs="Arial" w:eastAsia="Arial" w:hAnsi="Arial"/>
          <w:sz w:val="24"/>
          <w:szCs w:val="24"/>
        </w:rPr>
        <w:t xml:space="preserve">Умберто ДЕЛЬ ПАНТА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В</w:t>
      </w:r>
    </w:p>
    <w:p>
      <w:pPr>
        <w:spacing w:after="240" w:before="200"/>
        <w:jc w:val="center"/>
      </w:pPr>
      <w:r>
        <w:rPr>
          <w:rFonts w:ascii="Arial" w:cs="Arial" w:eastAsia="Arial" w:hAnsi="Arial"/>
          <w:b/>
          <w:bCs/>
          <w:sz w:val="32"/>
          <w:szCs w:val="32"/>
        </w:rPr>
        <w:t xml:space="preserve">Определение EURIBOR</w:t>
      </w:r>
    </w:p>
    <w:p>
      <w:pPr>
        <w:spacing w:after="120"/>
        <w:jc w:val="both"/>
      </w:pPr>
      <w:r>
        <w:rPr>
          <w:rFonts w:ascii="Arial" w:cs="Arial" w:eastAsia="Arial" w:hAnsi="Arial"/>
          <w:b/>
          <w:bCs/>
          <w:sz w:val="24"/>
          <w:szCs w:val="24"/>
        </w:rPr>
        <w:t xml:space="preserve">A. EURIBOR</w:t>
      </w:r>
    </w:p>
    <w:p>
      <w:pPr>
        <w:spacing w:after="120"/>
        <w:jc w:val="both"/>
      </w:pPr>
      <w:r>
        <w:rPr>
          <w:rFonts w:ascii="Arial" w:cs="Arial" w:eastAsia="Arial" w:hAnsi="Arial"/>
          <w:sz w:val="24"/>
          <w:szCs w:val="24"/>
        </w:rPr>
        <w:t xml:space="preserve">"EURIBOR" означает:</w:t>
      </w:r>
    </w:p>
    <w:p>
      <w:pPr>
        <w:spacing w:after="120"/>
        <w:jc w:val="both"/>
      </w:pPr>
      <w:r>
        <w:rPr>
          <w:rFonts w:ascii="Arial" w:cs="Arial" w:eastAsia="Arial" w:hAnsi="Arial"/>
          <w:sz w:val="24"/>
          <w:szCs w:val="24"/>
        </w:rPr>
        <w:t xml:space="preserve">(a) в отношении соответствующего периода продолжительностью менее одного месяца, Опубликованная ставка (как определено ниже) в течение одного месяца;</w:t>
      </w:r>
    </w:p>
    <w:p>
      <w:pPr>
        <w:spacing w:after="120"/>
        <w:jc w:val="both"/>
      </w:pPr>
      <w:r>
        <w:rPr>
          <w:rFonts w:ascii="Arial" w:cs="Arial" w:eastAsia="Arial" w:hAnsi="Arial"/>
          <w:sz w:val="24"/>
          <w:szCs w:val="24"/>
        </w:rPr>
        <w:t xml:space="preserve">(b) в отношении соответствующего периода в один или более месяцев, в течение которого доступна Опубликованная ставка, применимая Опубликованная ставка на срок в течение соответствующего количества месяцев; и</w:t>
      </w:r>
    </w:p>
    <w:p>
      <w:pPr>
        <w:spacing w:after="120"/>
        <w:jc w:val="both"/>
      </w:pPr>
      <w:r>
        <w:rPr>
          <w:rFonts w:ascii="Arial" w:cs="Arial" w:eastAsia="Arial" w:hAnsi="Arial"/>
          <w:sz w:val="24"/>
          <w:szCs w:val="24"/>
        </w:rPr>
        <w:t xml:space="preserve">(c) в отношении соответствующего периода продолжительностью более одного месяца, для которого не доступна Опубликованная ставка, которая является результатом линейной интерполяции на основе двух Опубликованных ставок, одна из которых применима для следующего более короткого периода, а другая - для периода, следующего более продолжительного, чем продолжительность соответствующего периода, (период, на который берется ставка или из которого она интерполирована, является "Репрезентативным периодом").</w:t>
      </w:r>
    </w:p>
    <w:p>
      <w:pPr>
        <w:spacing w:after="120"/>
        <w:jc w:val="both"/>
      </w:pPr>
      <w:r>
        <w:rPr>
          <w:rFonts w:ascii="Arial" w:cs="Arial" w:eastAsia="Arial" w:hAnsi="Arial"/>
          <w:sz w:val="24"/>
          <w:szCs w:val="24"/>
        </w:rPr>
        <w:t xml:space="preserve">Для целей пунктов (b) и (c) выше:</w:t>
      </w:r>
    </w:p>
    <w:p>
      <w:pPr>
        <w:spacing w:after="120"/>
        <w:jc w:val="both"/>
      </w:pPr>
      <w:r>
        <w:rPr>
          <w:rFonts w:ascii="Arial" w:cs="Arial" w:eastAsia="Arial" w:hAnsi="Arial"/>
          <w:sz w:val="24"/>
          <w:szCs w:val="24"/>
        </w:rPr>
        <w:t xml:space="preserve">(i) "доступна" означает ставки на данные сроки, которые рассчитываются и публикуются компанией Global Rate Set Systems Ltd (GRSS) или другим поставщиком услуг, выбранным Европейским институтом денежных рынков (EMMI), при спонсорстве EMMI и Еврибор ACI или любого преемника этой функции EMMI и Еврибор ACI, определенного Банком; и</w:t>
      </w:r>
    </w:p>
    <w:p>
      <w:pPr>
        <w:spacing w:after="120"/>
        <w:jc w:val="both"/>
      </w:pPr>
      <w:r>
        <w:rPr>
          <w:rFonts w:ascii="Arial" w:cs="Arial" w:eastAsia="Arial" w:hAnsi="Arial"/>
          <w:sz w:val="24"/>
          <w:szCs w:val="24"/>
        </w:rPr>
        <w:t xml:space="preserve">(ii) "Опубликованная ставка" - процентная ставка по депозитам в евро за соответствующий период, опубликованная в 11:00 по брюссельскому времени или позднее приемлемо для Банка в день ("Дата сброса"), который попадает за 2 (два) Соответствующих Рабочих дня до первого дня соответствующего периода, на странице Рейтера Еврибор 01 или на странице его преемника или, в противном случае, любым другим способом публикации, выбранным Банком для этой цели.</w:t>
      </w:r>
    </w:p>
    <w:p>
      <w:pPr>
        <w:spacing w:after="120"/>
        <w:jc w:val="both"/>
      </w:pPr>
      <w:r>
        <w:rPr>
          <w:rFonts w:ascii="Arial" w:cs="Arial" w:eastAsia="Arial" w:hAnsi="Arial"/>
          <w:sz w:val="24"/>
          <w:szCs w:val="24"/>
        </w:rPr>
        <w:t xml:space="preserve">Если такая Опубликованная ставка не опубликована, Банк просит основные офисы еврозоны четырех крупнейших банков в еврозоне, выбранные Банком, котировать ставку, по которой каждый из них предлагает вклады в евро в сопоставимой сумме приблизительно в 11:00 по брюссельскому времени, в Дату сброса для ведущих банков на межбанковском рынке евро на период, равный Представительному периоду. Если предоставлено не менее 2 (двух) котировок, то курс на эту Дату Сброса будет являться средним арифметическим значением котировок.</w:t>
      </w:r>
    </w:p>
    <w:p>
      <w:pPr>
        <w:spacing w:after="120"/>
        <w:jc w:val="both"/>
      </w:pPr>
      <w:r>
        <w:rPr>
          <w:rFonts w:ascii="Arial" w:cs="Arial" w:eastAsia="Arial" w:hAnsi="Arial"/>
          <w:sz w:val="24"/>
          <w:szCs w:val="24"/>
        </w:rPr>
        <w:t xml:space="preserve">Если по запросу будет представлено менее 2 (двух) котировок, то ставка на эту Дату Сброса будет представлять собой среднее арифметическое ставок, установленных основными банками еврозоны, выбранными Банком приблизительно в 11:00 по брюссельскому времени на день, который приходится на 2 (два) Рабочих дня после Даты Сброса, для кредитов в евро в размере, сопоставимом с ценами ведущих европейских банков на период, равный Репрезентативному периоду.</w:t>
      </w:r>
    </w:p>
    <w:p>
      <w:pPr>
        <w:spacing w:after="120"/>
        <w:jc w:val="both"/>
      </w:pPr>
      <w:r>
        <w:rPr>
          <w:rFonts w:ascii="Arial" w:cs="Arial" w:eastAsia="Arial" w:hAnsi="Arial"/>
          <w:sz w:val="24"/>
          <w:szCs w:val="24"/>
        </w:rPr>
        <w:t xml:space="preserve">Если ставка, указанная выше, отсутствует, то Еврибор - это ставка (выраженная в виде процентной ставки в год), которая определяется Банком как совокупная стоимость для Банка для финансирования соответствующего Транша на основе применимой на тот момент внутренней базовой ставки Банка или альтернативного метода определения ставки, разумно определенного Банком.</w:t>
      </w:r>
    </w:p>
    <w:p>
      <w:pPr>
        <w:spacing w:after="120"/>
        <w:jc w:val="both"/>
      </w:pPr>
      <w:r>
        <w:rPr>
          <w:rFonts w:ascii="Arial" w:cs="Arial" w:eastAsia="Arial" w:hAnsi="Arial"/>
          <w:b/>
          <w:bCs/>
          <w:sz w:val="24"/>
          <w:szCs w:val="24"/>
        </w:rPr>
        <w:t xml:space="preserve">В. ОБЩЕЕ</w:t>
      </w:r>
    </w:p>
    <w:p>
      <w:pPr>
        <w:spacing w:after="120"/>
        <w:jc w:val="both"/>
      </w:pPr>
      <w:r>
        <w:rPr>
          <w:rFonts w:ascii="Arial" w:cs="Arial" w:eastAsia="Arial" w:hAnsi="Arial"/>
          <w:sz w:val="24"/>
          <w:szCs w:val="24"/>
        </w:rPr>
        <w:t xml:space="preserve">Для целей, приведенных выше определений:</w:t>
      </w:r>
    </w:p>
    <w:p>
      <w:pPr>
        <w:spacing w:after="120"/>
        <w:jc w:val="both"/>
      </w:pPr>
      <w:r>
        <w:rPr>
          <w:rFonts w:ascii="Arial" w:cs="Arial" w:eastAsia="Arial" w:hAnsi="Arial"/>
          <w:sz w:val="24"/>
          <w:szCs w:val="24"/>
        </w:rPr>
        <w:t xml:space="preserve">(a) Все проценты, полученные в результате расчетов, указанных в настоящем Приложении, округляются, при необходимости, с точностью до одной тысячной доли (в отношении Еврибор) процентной точки, при этом половины округляются в сторону увеличения.</w:t>
      </w:r>
    </w:p>
    <w:p>
      <w:pPr>
        <w:spacing w:after="120"/>
        <w:jc w:val="both"/>
      </w:pPr>
      <w:r>
        <w:rPr>
          <w:rFonts w:ascii="Arial" w:cs="Arial" w:eastAsia="Arial" w:hAnsi="Arial"/>
          <w:sz w:val="24"/>
          <w:szCs w:val="24"/>
        </w:rPr>
        <w:t xml:space="preserve">(b) Банк незамедлительно информирует Заемщика о поступивших в Банк котировках.</w:t>
      </w:r>
    </w:p>
    <w:p>
      <w:pPr>
        <w:spacing w:after="120"/>
        <w:jc w:val="both"/>
      </w:pPr>
      <w:r>
        <w:rPr>
          <w:rFonts w:ascii="Arial" w:cs="Arial" w:eastAsia="Arial" w:hAnsi="Arial"/>
          <w:sz w:val="24"/>
          <w:szCs w:val="24"/>
        </w:rPr>
        <w:t xml:space="preserve">(c) Если какое-либо из вышеуказанных положений станет несовместимым с положениями, принятыми под эгидой: EMMI и Еврибор ACI (или любой преемник этой функции EMMI и Еврибор ACI, определенной Банком) в отношении Еврибор, или Банк может путем уведомления Заемщика изменить это положение для приведения его в соответствие с другими такими положениями.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ywmptlgxubjtncddxte_">
      <w:r>
        <w:rPr>
          <w:rFonts w:ascii="Arial" w:cs="Arial" w:eastAsia="Arial" w:hAnsi="Arial"/>
          <w:color w:val="132D3F"/>
          <w:sz w:val="16"/>
          <w:szCs w:val="16"/>
          <w:u w:val="single"/>
        </w:rPr>
        <w:t xml:space="preserve">dalil.kg/document/218054</w:t>
      </w:r>
    </w:hyperlink>
  </w:p>
  <w:p>
    <w:pPr>
      <w:spacing w:after="0" w:before="40"/>
      <w:jc w:val="center"/>
    </w:pPr>
    <w:hyperlink w:history="1" r:id="rIda3agzivpulhiye1eftkw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1e1iuuw5f_ejflpj4lml" Type="http://schemas.openxmlformats.org/officeDocument/2006/relationships/hyperlink" Target="https://dalil.kg/document/205286" TargetMode="External"/><Relationship Id="rIdkznrpqon4buwema4wahus" Type="http://schemas.openxmlformats.org/officeDocument/2006/relationships/hyperlink" Target="https://dalil.kg/document/203685" TargetMode="External"/><Relationship Id="rIda2kels8z1xgvdofr7sbtr"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ywmptlgxubjtncddxte_" Type="http://schemas.openxmlformats.org/officeDocument/2006/relationships/hyperlink" Target="https://dalil.kg/document/218054" TargetMode="External"/><Relationship Id="rIda3agzivpulhiye1eftkw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2026-09-30T14:31:20.741Z</dcterms:created>
  <dcterms:modified xsi:type="dcterms:W3CDTF">2026-09-30T14:31:20.741Z</dcterms:modified>
</cp:coreProperties>
</file>

<file path=docProps/custom.xml><?xml version="1.0" encoding="utf-8"?>
<Properties xmlns="http://schemas.openxmlformats.org/officeDocument/2006/custom-properties" xmlns:vt="http://schemas.openxmlformats.org/officeDocument/2006/docPropsVTypes"/>
</file>