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</w:t>
      </w:r>
      <w:hyperlink w:history="1" r:id="rIdbw85o-hkt-u_avj8d3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проведению административно-территориальной реформы в Кыргызской Республике" от 24 сентября 2018 года № 189, в соответствии со статьями </w:t>
      </w:r>
      <w:hyperlink w:history="1" r:id="rIde6xrfk1i8ldgbmhhcjm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ppkczi1mzwhnijxfp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m0ctdv4hmpj0vjakp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2018 года № 461-р </w:t>
      </w:r>
      <w:hyperlink w:history="1" r:id="rIdqhe1xt4dnvgzjlfqyy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распоряжение Правительства Кыргызской Республики от 28 декабря 2018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unntz-l77nfj2qbox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Дорожной карте</w:t>
        </w:r>
      </w:hyperlink>
      <w:r>
        <w:rPr>
          <w:rFonts w:ascii="Arial" w:cs="Arial" w:eastAsia="Arial" w:hAnsi="Arial"/>
          <w:sz w:val="24"/>
          <w:szCs w:val="24"/>
        </w:rPr>
        <w:t xml:space="preserve"> поэтапного проведения реформы административно-территориального устройства Кыргызской Республики, утвержденной вышеуказанным </w:t>
      </w:r>
      <w:hyperlink w:history="1" r:id="rIdmw9sncuenjwygc-oxna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31"/>
        <w:gridCol w:w="2451"/>
        <w:gridCol w:w="2516"/>
        <w:gridCol w:w="951"/>
        <w:gridCol w:w="1708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государственных и муниципальных услуг на местах на предмет их доступности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возможностей предоставления услуг населению по экстерриториальному принципу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предложения по обеспечению доступности государственных и муниципальных услуг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ГКИТС, ГРС, ГАМСУМО, НИСИ, ПП ПКР, Союз МСУ (по согласованию), НКО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поэтапному внедрению на региональном уровне информационно-коммуникационных технологий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механизмы поэтапного внедрения информационно-коммуникационных технологий в сфере предоставления услуг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Функциональный анализ государственных органов,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а также анализ их кадрового потенциала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функций и структур органов государственного управления на территориальном уровне, в том числе на предмет дублирования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относительно отраслевого и правового контекста деятельности государственного органа, его места в системе государственного управления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ГАМСУМО, МЭ, НИСИ,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полномочий и функций полномочных представителей Правительства Кыргызской Республики в областях, местных государственных администраций и органов местного самоуправления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задачи и функции полномочных представителей Правительства Кыргызской Республики в областях, местных государственных администраций и органов местного самоуправления, определено соответствие функций задачам для возможного совершенствования структуры и функций в целях создания более компактной и эффективной системы управления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МЭ, ГКС (по согласованию), ГАМСУМО, НИСИ, ПП 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Заслушивание руководителей государственных органов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представление о деятельности органа власти, сводный перечень направлений деятельности и базовых компетенций, установленных законодательно, а также проанализированы задачи и функции, определено соответствие функций задачам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графику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347"/>
        <w:gridCol w:w="2766"/>
        <w:gridCol w:w="1464"/>
        <w:gridCol w:w="922"/>
        <w:gridCol w:w="225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критериев оптимизации административно-территориальных единиц</w:t>
            </w:r>
          </w:p>
        </w:tc>
        <w:tc>
          <w:tcPr>
            <w:tcW w:type="dxa" w:w="2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экономических и демографических факторов для разработки предложений о критериях оптимизации административно-территориальных единиц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2020 года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ГАМСУМО, МКИТ, МСХППМ, ГКПЭН, НИСИ, ПП ПКР, Союз МСУ (по согласованию), HKO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14 цифры "2019" заменить цифрами "2020";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15 слова "10 сентября 2019 года" заменить словами "30 июля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17 слова "1 декабря 2019 года" заменить словами "По итогам подготовки моделей административно-территориального устройства";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18 слова "1 сентября 2019 года" заменить словами "30 июля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19 слова "III-IV кварталы 2019 года" заменить словами "30 июля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20 слова "III-IV кварталы 2019 года" заменить словами "III-IV кварталы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21 слова "I полугодие 2020 года" заменить словами "В течение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22 слова "I полугодие 2020 года" заменить словами "IV квартал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27-30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98"/>
        <w:gridCol w:w="2331"/>
        <w:gridCol w:w="2278"/>
        <w:gridCol w:w="963"/>
        <w:gridCol w:w="1987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карт социально-экономических ресурсов районов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природно-ресурсного, демографического потенциала районов и подготовка карт ресурсов районов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карты расположения природных, экономических, социальных ресурсов, демографических показателей, которые станут основой для формирования границ новых районов</w:t>
            </w:r>
          </w:p>
        </w:tc>
        <w:tc>
          <w:tcPr>
            <w:tcW w:type="dxa" w:w="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2020 года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НАН, НИСИ, ГКПЭН, МСХППМ, МТД, МКИТ, МТСР, МЗ, МОН, ГВР, ГЗР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детальной схемы государственного управления на уровне района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задач, функций и полномочий, структуры местных государственных администраций и территориальных государственных органов в рамках новой модели управления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подготовительная работа для новой системы управления на уровне района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 2020 года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ГАМСУМО, МВД, МСХППМ, МТД, МОН, МЗ, МКИТ, МТСР, ГКДО, ГААСЖКХ, ГНС, Соцфонд, Нацстатком (по согласованию), ГЗР, ГАМФКС, ГРС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задач для внедрения электронного управления на уровне района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предложения с перечнем задач по переходу деятельности местных государственных администраций и территориальных подразделений государственных органов на электронное управление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повышение эффективности системы государственного управления, оптимизация расходов при взаимодействии государственных органов и органов местного самоуправления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ГКИТС, ГАМСУМО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границы районов в соответствии с новой моделью административно-территориального устройства и системой государственного управления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административно-территориального деления на районы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новая система административно-территориального устройства Кыргызской Республики, с оптимальной системой государственного управления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2021 года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 МЭ, ГАМСУМО, МФ, МВД, МСХППМ, МТД, МОН, МЗ, МКИТ, МТСР, ГААСЖКХ, ГКДО, ГНС, Соцфонд, Нацстатком (по согласованию), ГЗР, ГАМФКС, ГРС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Глоссарий дополнить абзацами двадцать третьим - тридцать четвертым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tkehpzkevzbkbavv9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dalil.kg/document/218066</w:t>
      </w:r>
    </w:hyperlink>
  </w:p>
  <w:p>
    <w:pPr>
      <w:spacing w:after="0" w:before="40"/>
      <w:jc w:val="center"/>
    </w:pPr>
    <w:hyperlink w:history="1" r:id="rIdbxmo1e1lfl8byfphyyc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85o-hkt-u_avj8d3rro" Type="http://schemas.openxmlformats.org/officeDocument/2006/relationships/hyperlink" Target="https://dalil.kg/document/900300" TargetMode="External"/><Relationship Id="rIde6xrfk1i8ldgbmhhcjmqh" Type="http://schemas.openxmlformats.org/officeDocument/2006/relationships/hyperlink" Target="https://dalil.kg/document/203685" TargetMode="External"/><Relationship Id="rIdxppkczi1mzwhnijxfptdd" Type="http://schemas.openxmlformats.org/officeDocument/2006/relationships/hyperlink" Target="https://dalil.kg/document/203685" TargetMode="External"/><Relationship Id="rIdhm0ctdv4hmpj0vjakpdv_" Type="http://schemas.openxmlformats.org/officeDocument/2006/relationships/hyperlink" Target="https://dalil.kg/document/216802" TargetMode="External"/><Relationship Id="rIdqhe1xt4dnvgzjlfqyyoax" Type="http://schemas.openxmlformats.org/officeDocument/2006/relationships/hyperlink" Target="https://dalil.kg/document/218066" TargetMode="External"/><Relationship Id="rIdgunntz-l77nfj2qbox3lj" Type="http://schemas.openxmlformats.org/officeDocument/2006/relationships/hyperlink" Target="https://dalil.kg/document/216802" TargetMode="External"/><Relationship Id="rIdmw9sncuenjwygc-oxna3x" Type="http://schemas.openxmlformats.org/officeDocument/2006/relationships/hyperlink" Target="https://dalil.kg/document/216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tkehpzkevzbkbavv9sy" Type="http://schemas.openxmlformats.org/officeDocument/2006/relationships/hyperlink" Target="https://dalil.kg/document/218066" TargetMode="External"/><Relationship Id="rIdbxmo1e1lfl8byfphyyc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2026-09-25T10:19:14.542Z</dcterms:created>
  <dcterms:modified xsi:type="dcterms:W3CDTF">2026-09-25T10:19:14.542Z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