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29 мая 2020 года № 194-р</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oscfcl0ikn9ezxtatgosf">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Плана реагирования на коронавирусную инфекцию (COVID-19) и раннего восстановления по взаимодействию между Правительством Кыргызской Республики и Группой по координации реагирования на чрезвычайные ситуации.</w:t>
      </w:r>
    </w:p>
    <w:p>
      <w:pPr>
        <w:spacing w:after="120"/>
        <w:jc w:val="both"/>
      </w:pPr>
      <w:r>
        <w:rPr>
          <w:rFonts w:ascii="Arial" w:cs="Arial" w:eastAsia="Arial" w:hAnsi="Arial"/>
          <w:sz w:val="24"/>
          <w:szCs w:val="24"/>
        </w:rPr>
        <w:t xml:space="preserve">2. Уполномочить вице-премьер-министра Кыргызской Республики Исмаилову А.Ж. на подписание вышеуказанного Плана, с учетом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3. Установить, что привлечение и использование международной грантовой и технической помощи в рамках вышеуказанного Плана осуществляются в соответствии с </w:t>
      </w:r>
      <w:hyperlink w:history="1" r:id="rIdvw2x9c6-fwovevfdtvfu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привлечения и использования международной грантовой и технической помощи в Кыргызской Республике, утвержденным </w:t>
      </w:r>
      <w:hyperlink w:history="1" r:id="rIdvcc_djugx2sbodwturo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июня 2017 года № 389.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b/>
          <w:bCs/>
          <w:sz w:val="24"/>
          <w:szCs w:val="24"/>
        </w:rPr>
        <w:t xml:space="preserve">К.А.Боронов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(Неофициальный перевод)</w:t>
      </w:r>
    </w:p>
    <w:p>
      <w:pPr>
        <w:spacing w:after="240" w:before="200"/>
        <w:jc w:val="center"/>
      </w:pPr>
      <w:r>
        <w:rPr>
          <w:rFonts w:ascii="Arial" w:cs="Arial" w:eastAsia="Arial" w:hAnsi="Arial"/>
          <w:b/>
          <w:bCs/>
          <w:sz w:val="32"/>
          <w:szCs w:val="32"/>
        </w:rPr>
        <w:t xml:space="preserve">ПЛАН
 реагирования на коронавирусную инфекцию (COVID-19) и раннего восстановления по взаимодействию между Правительством Кыргызской Республики и Группой по координации реагирования на чрезвычайные ситуации</w:t>
      </w:r>
    </w:p>
    <w:p>
      <w:pPr>
        <w:spacing w:after="240" w:before="200"/>
        <w:jc w:val="center"/>
      </w:pPr>
      <w:r>
        <w:rPr>
          <w:rFonts w:ascii="Arial" w:cs="Arial" w:eastAsia="Arial" w:hAnsi="Arial"/>
          <w:b/>
          <w:bCs/>
          <w:sz w:val="32"/>
          <w:szCs w:val="32"/>
        </w:rPr>
        <w:t xml:space="preserve">Обзор ситуации</w:t>
      </w:r>
    </w:p>
    <w:p>
      <w:pPr>
        <w:spacing w:after="120"/>
        <w:jc w:val="both"/>
      </w:pPr>
      <w:r>
        <w:rPr>
          <w:rFonts w:ascii="Arial" w:cs="Arial" w:eastAsia="Arial" w:hAnsi="Arial"/>
          <w:sz w:val="24"/>
          <w:szCs w:val="24"/>
        </w:rPr>
        <w:t xml:space="preserve">31 декабря 2019 года впервые в Китайской Народной Республике сообщили в страновое бюро Всемирной организации здравоохранения Организации Объединенных Наций (далее - ВОЗ) о пневмонии неизвестного происхождения, выявленной в г.Ухань, 30 января 2020 года вспышка коронавирусной инфекции (далее - COVID-19) была объявлена чрезвычайной ситуацией в области общественного здравоохранения, имеющей международное значение.</w:t>
      </w:r>
    </w:p>
    <w:p>
      <w:pPr>
        <w:spacing w:after="120"/>
        <w:jc w:val="both"/>
      </w:pPr>
      <w:r>
        <w:rPr>
          <w:rFonts w:ascii="Arial" w:cs="Arial" w:eastAsia="Arial" w:hAnsi="Arial"/>
          <w:sz w:val="24"/>
          <w:szCs w:val="24"/>
        </w:rPr>
        <w:t xml:space="preserve">18 марта 2020 года в Кыргызской Республике были зафиксированы первые три случая заболевания COVID-19, которые были выявлены среди тех, кто вернулся после совершения паломничества (умра) из Саудовской Аравии. Ранее Правительством Кыргызской Республики были введены определенные ограничения, в том числе запрет на въезд иностранных граждан с 17 марта 2020 года, закрытие развлекательных заведений, школ и высших учебных заведений (продолжительные весенние каникулы), рекомендации самоизоляции и переход на удаленную работу, отмена международных рейсов в/из аэропортов Ош и Бишкек и др.</w:t>
      </w:r>
    </w:p>
    <w:p>
      <w:pPr>
        <w:spacing w:after="120"/>
        <w:jc w:val="both"/>
      </w:pPr>
      <w:r>
        <w:rPr>
          <w:rFonts w:ascii="Arial" w:cs="Arial" w:eastAsia="Arial" w:hAnsi="Arial"/>
          <w:sz w:val="24"/>
          <w:szCs w:val="24"/>
        </w:rPr>
        <w:t xml:space="preserve">Совет безопасности Кыргызской Республики рекомендовал ввести чрезвычайное положение с 22 марта 2020 года, и Правительство Кыргызской Республики впоследствии ввело более строгие меры, установив контрольно-пропускные пункты в каждом регионе, городе закрыв объекты (кафе, кинотеатры, торговые центры и другие развлекательные заведения), оставив только продуктовые магазины, продовольственные рынки, аптеки и медицинские учреждения.</w:t>
      </w:r>
    </w:p>
    <w:p>
      <w:pPr>
        <w:spacing w:after="120"/>
        <w:jc w:val="both"/>
      </w:pPr>
      <w:r>
        <w:rPr>
          <w:rFonts w:ascii="Arial" w:cs="Arial" w:eastAsia="Arial" w:hAnsi="Arial"/>
          <w:sz w:val="24"/>
          <w:szCs w:val="24"/>
        </w:rPr>
        <w:t xml:space="preserve">По состоянию на 3 апреля в Кыргызской Республике были подтверждены 130 случаев заболевания COVID-19 и один случай смерти. По данным национальных властей, среди подтвержденных случаев 58 - мужчины (45%) и 72 - женщины (55%). Подтвержденные случаи есть практически во всех областях страны.</w:t>
      </w:r>
    </w:p>
    <w:p>
      <w:pPr>
        <w:spacing w:after="120"/>
        <w:jc w:val="both"/>
      </w:pPr>
      <w:r>
        <w:rPr>
          <w:rFonts w:ascii="Arial" w:cs="Arial" w:eastAsia="Arial" w:hAnsi="Arial"/>
          <w:sz w:val="24"/>
          <w:szCs w:val="24"/>
        </w:rPr>
        <w:t xml:space="preserve">В связи со вспышкой COVID-19 и мерами, предпринятыми по предотвращению распространения инфекции, такими как введение режима карантина и ограничение торговли и передвижения, граждане лишены возможности получить доступ к некоторым основным государственным услугам. Глобальные экономические факторы и, в особенности, экономический спад в Республике Казахстан и Российской Федерации могут потенциально усугубить экономический шок для Кыргызской Республики от COVID-19. Кризис уже нанес урон экономической стабильности, наблюдается отрицательное влияние роста цен на продукты питания и горючие материалы, дефицит медикаментов и медицинских препаратов, рост безработицы и снижение объема денежных переводов (в настоящее время это 35% ВВП). Обесценение кыргызской валюты на более чем 10% за последнюю неделю привело к снижению покупательной способности. Кроме того, мигрантам, которые возвращаются без работы и источника дохода, нужна поддержка в реинтеграции их с сообществом, а также их семьям в преодолении трудностей.</w:t>
      </w:r>
    </w:p>
    <w:p>
      <w:pPr>
        <w:spacing w:after="120"/>
        <w:jc w:val="both"/>
      </w:pPr>
      <w:r>
        <w:rPr>
          <w:rFonts w:ascii="Arial" w:cs="Arial" w:eastAsia="Arial" w:hAnsi="Arial"/>
          <w:sz w:val="24"/>
          <w:szCs w:val="24"/>
        </w:rPr>
        <w:t xml:space="preserve">Гендерное и возрастное неравенство, а также неравенство по признаку инвалидности усугубляют ситуацию, в результате чего уязвимые группы населения подвергаются большему риску нарушения их прав и нуждаются в услугах по профилактике и реагированию. В особенности, когда необходимые услуги сокращаются по мере отвлечения ресурсов на удовлетворение потребностей, связанных со здравоохранением.</w:t>
      </w:r>
    </w:p>
    <w:p>
      <w:pPr>
        <w:spacing w:after="240" w:before="200"/>
        <w:jc w:val="center"/>
      </w:pPr>
      <w:r>
        <w:rPr>
          <w:rFonts w:ascii="Arial" w:cs="Arial" w:eastAsia="Arial" w:hAnsi="Arial"/>
          <w:b/>
          <w:bCs/>
          <w:sz w:val="32"/>
          <w:szCs w:val="32"/>
        </w:rPr>
        <w:t xml:space="preserve">Координация</w:t>
      </w:r>
    </w:p>
    <w:p>
      <w:pPr>
        <w:spacing w:after="120"/>
        <w:jc w:val="both"/>
      </w:pPr>
      <w:r>
        <w:rPr>
          <w:rFonts w:ascii="Arial" w:cs="Arial" w:eastAsia="Arial" w:hAnsi="Arial"/>
          <w:sz w:val="24"/>
          <w:szCs w:val="24"/>
        </w:rPr>
        <w:t xml:space="preserve">Правительством Кыргызской Республики в январе 2020 года создан Республиканский штаб (координационный центр) под председательством Премьер-министра Кыргызской Республики. Республиканского штаба поддерживают два специальных штаба по вопросам здравоохранения и социально-экономических мер реагирования. В состав штабов входят все отраслевые министерства, ответственные за реагирования на COVID-19. Для разработки предложений по реализации мер, направленных на привлечение внешней помощи для преодоления воздействия COVID-19 на экономику, Правительством Кыргызской Республики также были созданы экспертные рабочие группы по четырем направлениям.</w:t>
      </w:r>
    </w:p>
    <w:p>
      <w:pPr>
        <w:spacing w:after="120"/>
        <w:jc w:val="both"/>
      </w:pPr>
      <w:r>
        <w:rPr>
          <w:rFonts w:ascii="Arial" w:cs="Arial" w:eastAsia="Arial" w:hAnsi="Arial"/>
          <w:sz w:val="24"/>
          <w:szCs w:val="24"/>
        </w:rPr>
        <w:t xml:space="preserve">Министерство чрезвычайных ситуаций Кыргызской Республики (далее - МЧС) является оперативным подразделением для Республиканского штаба Правительства Кыргызской Республики по координации всех видов чрезвычайных ситуаций. МЧС работает в сотрудничестве с другими отраслевыми министерствами, территориальными органами власти, органами местного самоуправления, международными и неправительственными организациями.</w:t>
      </w:r>
    </w:p>
    <w:p>
      <w:pPr>
        <w:spacing w:after="120"/>
        <w:jc w:val="both"/>
      </w:pPr>
      <w:r>
        <w:rPr>
          <w:rFonts w:ascii="Arial" w:cs="Arial" w:eastAsia="Arial" w:hAnsi="Arial"/>
          <w:sz w:val="24"/>
          <w:szCs w:val="24"/>
        </w:rPr>
        <w:t xml:space="preserve">Еще до того, как были зарегистрированы первые случаи заболевания COVID-19, Правительством Кыргызской Республики был принят ряд мер по снижению распространения заболевания. После подтверждения первых случаев Правительством Кыргызской Республики с 22 марта 2020 года введен режим чрезвычайной ситуации на всей территории Кыргызской Республики.</w:t>
      </w:r>
    </w:p>
    <w:p>
      <w:pPr>
        <w:spacing w:after="120"/>
        <w:jc w:val="both"/>
      </w:pPr>
      <w:r>
        <w:rPr>
          <w:rFonts w:ascii="Arial" w:cs="Arial" w:eastAsia="Arial" w:hAnsi="Arial"/>
          <w:sz w:val="24"/>
          <w:szCs w:val="24"/>
        </w:rPr>
        <w:t xml:space="preserve">16 марта 2020 года Правительством Кыргызской Республики осуществлен запрос в систему Организации Объединенных наций в Кыргызской Республике (далее - ООН) в целях активизации деятельности Группы по координации реагирования на чрезвычайные ситуации (далее - ГКРЧС). В малых и средних чрезвычайных ситуациях ГКРЧС берет на себя ответственность координировать и планировать многосекторное реагирование. Под руководством Постоянного координатора ООН в Кыргызской Республике международное гуманитарное сообщество в Кыргызской Республике учредило ГКРЧС, в состав которого входят руководители учреждений ООН, движение Красного Креста/Красного Полумесяца, международных организаций и неправительственных организаций. Роль Секретариата ГКРЧС выполняет Национальный советник Управления по координации гуманитарных вопросов ООН (далее - УКГВ ООН). ГКРЧС является консультативно-совещательным механизмом, основной целью которого является координация гуманитарного реагирования на чрезвычайные ситуации по запросу Правительства Кыргызской Республики, и расширение сотрудничества между партнерами ГКРЧС и другими ключевыми участниками.</w:t>
      </w:r>
    </w:p>
    <w:p>
      <w:pPr>
        <w:spacing w:after="120"/>
        <w:jc w:val="both"/>
      </w:pPr>
      <w:r>
        <w:rPr>
          <w:rFonts w:ascii="Arial" w:cs="Arial" w:eastAsia="Arial" w:hAnsi="Arial"/>
          <w:sz w:val="24"/>
          <w:szCs w:val="24"/>
        </w:rPr>
        <w:t xml:space="preserve">Поддерживая приоритетные секторы Правительства Кыргызской Республики, ГКРЧС будет определять приоритеты и направлять свою поддержку по шести приоритетным секторам: раннее восстановление, образование, продовольственная безопасность и логистика, здравоохранение, защита и совместный сектор по санитарии и гигиене воды и непродовольственным товарам.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67"/>
        <w:gridCol w:w="2958"/>
        <w:gridCol w:w="2154"/>
      </w:tblGrid>
      <w:tr>
        <w:tc>
          <w:tcPr>
            <w:tcW w:type="dxa" w:w="50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Приоритетные сектора</w:t>
            </w:r>
          </w:p>
        </w:tc>
        <w:tc>
          <w:tcPr>
            <w:tcW w:type="dxa" w:w="29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Правительственные партнеры</w:t>
            </w:r>
          </w:p>
        </w:tc>
        <w:tc>
          <w:tcPr>
            <w:tcW w:type="dxa" w:w="21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Лидер сектора ГКРЧС</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Раннее восстановление</w:t>
            </w:r>
          </w:p>
        </w:tc>
        <w:tc>
          <w:tcPr>
            <w:tcW w:type="dxa" w:w="2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МТСР</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АКТЕД, ПРООН</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2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Продовольственная безопасность и логистика</w:t>
            </w:r>
          </w:p>
        </w:tc>
        <w:tc>
          <w:tcPr>
            <w:tcW w:type="dxa" w:w="2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МЭ, МТСР</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ФАО, ВПП</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Здравоохранения</w:t>
            </w:r>
          </w:p>
        </w:tc>
        <w:tc>
          <w:tcPr>
            <w:tcW w:type="dxa" w:w="2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Защита</w:t>
            </w:r>
          </w:p>
        </w:tc>
        <w:tc>
          <w:tcPr>
            <w:tcW w:type="dxa" w:w="2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УВКПЧ, ЮНИСЕФ</w:t>
            </w:r>
          </w:p>
        </w:tc>
      </w:tr>
      <w:tr>
        <w:tc>
          <w:tcPr>
            <w:tcW w:type="dxa" w:w="5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 санитария, гигиена и непродовольственные товары</w:t>
            </w:r>
          </w:p>
        </w:tc>
        <w:tc>
          <w:tcPr>
            <w:tcW w:type="dxa" w:w="2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 НОКП КР</w:t>
            </w:r>
          </w:p>
        </w:tc>
      </w:tr>
    </w:tbl>
    <w:p>
      <w:pPr>
        <w:spacing w:after="120"/>
        <w:jc w:val="both"/>
      </w:pPr>
      <w:r>
        <w:rPr>
          <w:rFonts w:ascii="Arial" w:cs="Arial" w:eastAsia="Arial" w:hAnsi="Arial"/>
          <w:sz w:val="24"/>
          <w:szCs w:val="24"/>
        </w:rPr>
        <w:t xml:space="preserve">Данный план составлен ГКРЧС совместно с гуманитарными и другими партнерами в тесной координации с правительственными партнерами.</w:t>
      </w:r>
    </w:p>
    <w:p>
      <w:pPr>
        <w:spacing w:after="240" w:before="200"/>
        <w:jc w:val="center"/>
      </w:pPr>
      <w:r>
        <w:rPr>
          <w:rFonts w:ascii="Arial" w:cs="Arial" w:eastAsia="Arial" w:hAnsi="Arial"/>
          <w:b/>
          <w:bCs/>
          <w:sz w:val="32"/>
          <w:szCs w:val="32"/>
        </w:rPr>
        <w:t xml:space="preserve">Стратегия реагирования</w:t>
      </w:r>
    </w:p>
    <w:p>
      <w:pPr>
        <w:spacing w:after="120"/>
        <w:jc w:val="both"/>
      </w:pPr>
      <w:r>
        <w:rPr>
          <w:rFonts w:ascii="Arial" w:cs="Arial" w:eastAsia="Arial" w:hAnsi="Arial"/>
          <w:sz w:val="24"/>
          <w:szCs w:val="24"/>
        </w:rPr>
        <w:t xml:space="preserve">Общая цель Плана реагирования на коронавирусную инфекцию (COVID-19) и раннего восстановления по взаимодействию между Правительством Кыргызской Республики и Группой по координации реагирования на чрезвычайные ситуации (далее - План реагирования) состоит в том, чтобы поддержать Правительство Кыргызской Республики в защите жизни и облегчении страданий посредством доступа к многосекторальной помощи и критически важным услугам.</w:t>
      </w:r>
    </w:p>
    <w:p>
      <w:pPr>
        <w:spacing w:after="120"/>
        <w:jc w:val="both"/>
      </w:pPr>
      <w:r>
        <w:rPr>
          <w:rFonts w:ascii="Arial" w:cs="Arial" w:eastAsia="Arial" w:hAnsi="Arial"/>
          <w:sz w:val="24"/>
          <w:szCs w:val="24"/>
        </w:rPr>
        <w:t xml:space="preserve">Приоритетные сектора будут поддерживать Правительство Кыргызской Республики посредством следующих приоритетных направлений деятельности.</w:t>
      </w:r>
    </w:p>
    <w:p>
      <w:pPr>
        <w:spacing w:after="240" w:before="200"/>
        <w:jc w:val="center"/>
      </w:pPr>
      <w:r>
        <w:rPr>
          <w:rFonts w:ascii="Arial" w:cs="Arial" w:eastAsia="Arial" w:hAnsi="Arial"/>
          <w:b/>
          <w:bCs/>
          <w:sz w:val="32"/>
          <w:szCs w:val="32"/>
        </w:rPr>
        <w:t xml:space="preserve">Здоровье</w:t>
      </w:r>
    </w:p>
    <w:p>
      <w:pPr>
        <w:spacing w:after="120"/>
        <w:jc w:val="both"/>
      </w:pPr>
      <w:r>
        <w:rPr>
          <w:rFonts w:ascii="Arial" w:cs="Arial" w:eastAsia="Arial" w:hAnsi="Arial"/>
          <w:sz w:val="24"/>
          <w:szCs w:val="24"/>
        </w:rPr>
        <w:t xml:space="preserve">Ограничить передачу вируса от человека к человеку, включая снижение вторичных инфекций среди близких контактных лиц и медицинских работников, предотвращение случаев амплификации передачи и недопущение дальнейшего международного распространения.</w:t>
      </w:r>
    </w:p>
    <w:p>
      <w:pPr>
        <w:spacing w:after="120"/>
        <w:jc w:val="both"/>
      </w:pPr>
      <w:r>
        <w:rPr>
          <w:rFonts w:ascii="Arial" w:cs="Arial" w:eastAsia="Arial" w:hAnsi="Arial"/>
          <w:sz w:val="24"/>
          <w:szCs w:val="24"/>
        </w:rPr>
        <w:t xml:space="preserve">Смягчить воздействие коронавируса в стране в случае устойчивой передачи инфекции среди населения.</w:t>
      </w:r>
    </w:p>
    <w:p>
      <w:pPr>
        <w:spacing w:after="240" w:before="200"/>
        <w:jc w:val="center"/>
      </w:pPr>
      <w:r>
        <w:rPr>
          <w:rFonts w:ascii="Arial" w:cs="Arial" w:eastAsia="Arial" w:hAnsi="Arial"/>
          <w:b/>
          <w:bCs/>
          <w:sz w:val="32"/>
          <w:szCs w:val="32"/>
        </w:rPr>
        <w:t xml:space="preserve">Раннее восстановление</w:t>
      </w:r>
    </w:p>
    <w:p>
      <w:pPr>
        <w:spacing w:after="120"/>
        <w:jc w:val="both"/>
      </w:pPr>
      <w:r>
        <w:rPr>
          <w:rFonts w:ascii="Arial" w:cs="Arial" w:eastAsia="Arial" w:hAnsi="Arial"/>
          <w:sz w:val="24"/>
          <w:szCs w:val="24"/>
        </w:rPr>
        <w:t xml:space="preserve">Улучшение доступа к получению основных услуг.</w:t>
      </w:r>
    </w:p>
    <w:p>
      <w:pPr>
        <w:spacing w:after="120"/>
        <w:jc w:val="both"/>
      </w:pPr>
      <w:r>
        <w:rPr>
          <w:rFonts w:ascii="Arial" w:cs="Arial" w:eastAsia="Arial" w:hAnsi="Arial"/>
          <w:sz w:val="24"/>
          <w:szCs w:val="24"/>
        </w:rPr>
        <w:t xml:space="preserve">Возобновление экономической деятельности и восстановление средств к существованию.</w:t>
      </w:r>
    </w:p>
    <w:p>
      <w:pPr>
        <w:spacing w:after="120"/>
        <w:jc w:val="both"/>
      </w:pPr>
      <w:r>
        <w:rPr>
          <w:rFonts w:ascii="Arial" w:cs="Arial" w:eastAsia="Arial" w:hAnsi="Arial"/>
          <w:sz w:val="24"/>
          <w:szCs w:val="24"/>
        </w:rPr>
        <w:t xml:space="preserve">Улучшение положения в области безопасности, верховенства закона, а также укрепление социальной сплоченности.</w:t>
      </w:r>
    </w:p>
    <w:p>
      <w:pPr>
        <w:spacing w:after="120"/>
        <w:jc w:val="both"/>
      </w:pPr>
      <w:r>
        <w:rPr>
          <w:rFonts w:ascii="Arial" w:cs="Arial" w:eastAsia="Arial" w:hAnsi="Arial"/>
          <w:sz w:val="24"/>
          <w:szCs w:val="24"/>
        </w:rPr>
        <w:t xml:space="preserve">Улучшение адаптивных возможностей мигрантов и вынужденных переселенцев.</w:t>
      </w:r>
    </w:p>
    <w:p>
      <w:pPr>
        <w:spacing w:after="240" w:before="200"/>
        <w:jc w:val="center"/>
      </w:pPr>
      <w:r>
        <w:rPr>
          <w:rFonts w:ascii="Arial" w:cs="Arial" w:eastAsia="Arial" w:hAnsi="Arial"/>
          <w:b/>
          <w:bCs/>
          <w:sz w:val="32"/>
          <w:szCs w:val="32"/>
        </w:rPr>
        <w:t xml:space="preserve">Образование</w:t>
      </w:r>
    </w:p>
    <w:p>
      <w:pPr>
        <w:spacing w:after="120"/>
        <w:jc w:val="both"/>
      </w:pPr>
      <w:r>
        <w:rPr>
          <w:rFonts w:ascii="Arial" w:cs="Arial" w:eastAsia="Arial" w:hAnsi="Arial"/>
          <w:sz w:val="24"/>
          <w:szCs w:val="24"/>
        </w:rPr>
        <w:t xml:space="preserve">Дети дошкольного возраста продолжат обучение с помощью игровых средств дистанционного обучения.</w:t>
      </w:r>
    </w:p>
    <w:p>
      <w:pPr>
        <w:spacing w:after="120"/>
        <w:jc w:val="both"/>
      </w:pPr>
      <w:r>
        <w:rPr>
          <w:rFonts w:ascii="Arial" w:cs="Arial" w:eastAsia="Arial" w:hAnsi="Arial"/>
          <w:sz w:val="24"/>
          <w:szCs w:val="24"/>
        </w:rPr>
        <w:t xml:space="preserve">Учащиеся начальных и средних школ, профессионально-технических учебных заведений, средне-профессиональных технических учебных заведений, высших учебных заведений продолжат процесс обучения с помощью инструментов дистанционного обучения.</w:t>
      </w:r>
    </w:p>
    <w:p>
      <w:pPr>
        <w:spacing w:after="120"/>
        <w:jc w:val="both"/>
      </w:pPr>
      <w:r>
        <w:rPr>
          <w:rFonts w:ascii="Arial" w:cs="Arial" w:eastAsia="Arial" w:hAnsi="Arial"/>
          <w:sz w:val="24"/>
          <w:szCs w:val="24"/>
        </w:rPr>
        <w:t xml:space="preserve">Преподаватели образовательных учреждений всех уровней повысят квалификацию в обеспечении и мониторинге процесса дистанционного обучения.</w:t>
      </w:r>
    </w:p>
    <w:p>
      <w:pPr>
        <w:spacing w:after="120"/>
        <w:jc w:val="both"/>
      </w:pPr>
      <w:r>
        <w:rPr>
          <w:rFonts w:ascii="Arial" w:cs="Arial" w:eastAsia="Arial" w:hAnsi="Arial"/>
          <w:sz w:val="24"/>
          <w:szCs w:val="24"/>
        </w:rPr>
        <w:t xml:space="preserve">Родители/опекуны получат рекомендации о том, как эффективно проводить время с детьми дома.</w:t>
      </w:r>
    </w:p>
    <w:p>
      <w:pPr>
        <w:spacing w:after="240" w:before="200"/>
        <w:jc w:val="center"/>
      </w:pPr>
      <w:r>
        <w:rPr>
          <w:rFonts w:ascii="Arial" w:cs="Arial" w:eastAsia="Arial" w:hAnsi="Arial"/>
          <w:b/>
          <w:bCs/>
          <w:sz w:val="32"/>
          <w:szCs w:val="32"/>
        </w:rPr>
        <w:t xml:space="preserve">Продовольственная безопасность и логистика</w:t>
      </w:r>
    </w:p>
    <w:p>
      <w:pPr>
        <w:spacing w:after="120"/>
        <w:jc w:val="both"/>
      </w:pPr>
      <w:r>
        <w:rPr>
          <w:rFonts w:ascii="Arial" w:cs="Arial" w:eastAsia="Arial" w:hAnsi="Arial"/>
          <w:sz w:val="24"/>
          <w:szCs w:val="24"/>
        </w:rPr>
        <w:t xml:space="preserve">Поддержание и улучшение продовольственной безопасности и питания среди наиболее уязвимых категорий населения.</w:t>
      </w:r>
    </w:p>
    <w:p>
      <w:pPr>
        <w:spacing w:after="120"/>
        <w:jc w:val="both"/>
      </w:pPr>
      <w:r>
        <w:rPr>
          <w:rFonts w:ascii="Arial" w:cs="Arial" w:eastAsia="Arial" w:hAnsi="Arial"/>
          <w:sz w:val="24"/>
          <w:szCs w:val="24"/>
        </w:rPr>
        <w:t xml:space="preserve">Беспрепятственные и устойчивые поставки продуктов питания.</w:t>
      </w:r>
    </w:p>
    <w:p>
      <w:pPr>
        <w:spacing w:after="120"/>
        <w:jc w:val="both"/>
      </w:pPr>
      <w:r>
        <w:rPr>
          <w:rFonts w:ascii="Arial" w:cs="Arial" w:eastAsia="Arial" w:hAnsi="Arial"/>
          <w:sz w:val="24"/>
          <w:szCs w:val="24"/>
        </w:rPr>
        <w:t xml:space="preserve">Достаточное производство и продуктивность сельского хозяйства, в особенности среди мелких производителей.</w:t>
      </w:r>
    </w:p>
    <w:p>
      <w:pPr>
        <w:spacing w:after="240" w:before="200"/>
        <w:jc w:val="center"/>
      </w:pPr>
      <w:r>
        <w:rPr>
          <w:rFonts w:ascii="Arial" w:cs="Arial" w:eastAsia="Arial" w:hAnsi="Arial"/>
          <w:b/>
          <w:bCs/>
          <w:sz w:val="32"/>
          <w:szCs w:val="32"/>
        </w:rPr>
        <w:t xml:space="preserve">Защита</w:t>
      </w:r>
    </w:p>
    <w:p>
      <w:pPr>
        <w:spacing w:after="120"/>
        <w:jc w:val="both"/>
      </w:pPr>
      <w:r>
        <w:rPr>
          <w:rFonts w:ascii="Arial" w:cs="Arial" w:eastAsia="Arial" w:hAnsi="Arial"/>
          <w:sz w:val="24"/>
          <w:szCs w:val="24"/>
        </w:rPr>
        <w:t xml:space="preserve">Количество человек охвачено коммуникационными, информационно-разъяснительными и профилактическими мерами по вопросам недискриминации, защиты детей, гендерного насилия, а также повышения осведомленности об обязанностях граждан в условиях чрезвычайного положения.</w:t>
      </w:r>
    </w:p>
    <w:p>
      <w:pPr>
        <w:spacing w:after="120"/>
        <w:jc w:val="both"/>
      </w:pPr>
      <w:r>
        <w:rPr>
          <w:rFonts w:ascii="Arial" w:cs="Arial" w:eastAsia="Arial" w:hAnsi="Arial"/>
          <w:sz w:val="24"/>
          <w:szCs w:val="24"/>
        </w:rPr>
        <w:t xml:space="preserve">Лица с инвалидностью имеют доступ к денежной и безналичной помощи в период кризиса.</w:t>
      </w:r>
    </w:p>
    <w:p>
      <w:pPr>
        <w:spacing w:after="120"/>
        <w:jc w:val="both"/>
      </w:pPr>
      <w:r>
        <w:rPr>
          <w:rFonts w:ascii="Arial" w:cs="Arial" w:eastAsia="Arial" w:hAnsi="Arial"/>
          <w:sz w:val="24"/>
          <w:szCs w:val="24"/>
        </w:rPr>
        <w:t xml:space="preserve">Дети пользуются телефоном доверия, психосоциальной поддержкой детей в интернатных учреждениях, которым оказывается дополнительная помощь, чтобы справиться с ситуацией.</w:t>
      </w:r>
    </w:p>
    <w:p>
      <w:pPr>
        <w:spacing w:after="120"/>
        <w:jc w:val="both"/>
      </w:pPr>
      <w:r>
        <w:rPr>
          <w:rFonts w:ascii="Arial" w:cs="Arial" w:eastAsia="Arial" w:hAnsi="Arial"/>
          <w:sz w:val="24"/>
          <w:szCs w:val="24"/>
        </w:rPr>
        <w:t xml:space="preserve">Женщины и девочки имеют доступ к информации и услугам по профилактике и реагированию в связи с гендерным насилием.</w:t>
      </w:r>
    </w:p>
    <w:p>
      <w:pPr>
        <w:spacing w:after="120"/>
        <w:jc w:val="both"/>
      </w:pPr>
      <w:r>
        <w:rPr>
          <w:rFonts w:ascii="Arial" w:cs="Arial" w:eastAsia="Arial" w:hAnsi="Arial"/>
          <w:sz w:val="24"/>
          <w:szCs w:val="24"/>
        </w:rPr>
        <w:t xml:space="preserve">Количество человек (почти 100 человек ежедневно нарушают комендантский час) получают обращение в соответствии с нормами и стандартами в области прав человека.</w:t>
      </w:r>
    </w:p>
    <w:p>
      <w:pPr>
        <w:spacing w:after="120"/>
        <w:jc w:val="both"/>
      </w:pPr>
      <w:r>
        <w:rPr>
          <w:rFonts w:ascii="Arial" w:cs="Arial" w:eastAsia="Arial" w:hAnsi="Arial"/>
          <w:sz w:val="24"/>
          <w:szCs w:val="24"/>
        </w:rPr>
        <w:t xml:space="preserve">Лица, живущие с ВИЧ, получили продовольственные наборы и консультации.</w:t>
      </w:r>
    </w:p>
    <w:p>
      <w:pPr>
        <w:spacing w:after="120"/>
        <w:jc w:val="both"/>
      </w:pPr>
      <w:r>
        <w:rPr>
          <w:rFonts w:ascii="Arial" w:cs="Arial" w:eastAsia="Arial" w:hAnsi="Arial"/>
          <w:sz w:val="24"/>
          <w:szCs w:val="24"/>
        </w:rPr>
        <w:t xml:space="preserve">Беженцы, лица, ищущие убежище и лица без гражданства.</w:t>
      </w:r>
    </w:p>
    <w:p>
      <w:pPr>
        <w:spacing w:after="120"/>
        <w:jc w:val="both"/>
      </w:pPr>
      <w:r>
        <w:rPr>
          <w:rFonts w:ascii="Arial" w:cs="Arial" w:eastAsia="Arial" w:hAnsi="Arial"/>
          <w:sz w:val="24"/>
          <w:szCs w:val="24"/>
        </w:rPr>
        <w:t xml:space="preserve">Другие лица и общины, чьи права были затронуты или нарушены, имеют доступ к юридическим консультациям и защите.</w:t>
      </w:r>
    </w:p>
    <w:p>
      <w:pPr>
        <w:spacing w:after="240" w:before="200"/>
        <w:jc w:val="center"/>
      </w:pPr>
      <w:r>
        <w:rPr>
          <w:rFonts w:ascii="Arial" w:cs="Arial" w:eastAsia="Arial" w:hAnsi="Arial"/>
          <w:b/>
          <w:bCs/>
          <w:sz w:val="32"/>
          <w:szCs w:val="32"/>
        </w:rPr>
        <w:t xml:space="preserve">Вода, санитария, гигиена и непродовольственные товары</w:t>
      </w:r>
    </w:p>
    <w:p>
      <w:pPr>
        <w:spacing w:after="120"/>
        <w:jc w:val="both"/>
      </w:pPr>
      <w:r>
        <w:rPr>
          <w:rFonts w:ascii="Arial" w:cs="Arial" w:eastAsia="Arial" w:hAnsi="Arial"/>
          <w:sz w:val="24"/>
          <w:szCs w:val="24"/>
        </w:rPr>
        <w:t xml:space="preserve">Поставка дезинфицирующих средств в МЧС для дезинфекции общественных учреждений и помещений, включая школы, учреждения по уходу, муниципальные учреждения и пункты наблюдения;</w:t>
      </w:r>
    </w:p>
    <w:p>
      <w:pPr>
        <w:spacing w:after="120"/>
        <w:jc w:val="both"/>
      </w:pPr>
      <w:r>
        <w:rPr>
          <w:rFonts w:ascii="Arial" w:cs="Arial" w:eastAsia="Arial" w:hAnsi="Arial"/>
          <w:sz w:val="24"/>
          <w:szCs w:val="24"/>
        </w:rPr>
        <w:t xml:space="preserve">обучение сотрудников МЧС и органов местного самоуправления по дезинфекции общественных мест в целях борьбы с распространением инфекции на муниципальном уровне;</w:t>
      </w:r>
    </w:p>
    <w:p>
      <w:pPr>
        <w:spacing w:after="120"/>
        <w:jc w:val="both"/>
      </w:pPr>
      <w:r>
        <w:rPr>
          <w:rFonts w:ascii="Arial" w:cs="Arial" w:eastAsia="Arial" w:hAnsi="Arial"/>
          <w:sz w:val="24"/>
          <w:szCs w:val="24"/>
        </w:rPr>
        <w:t xml:space="preserve">охватить 500000 человек в зонах повышенного риска с помощью эффективных вмешательств и информирования в области воды, гигиены и санитарии;</w:t>
      </w:r>
    </w:p>
    <w:p>
      <w:pPr>
        <w:spacing w:after="120"/>
        <w:jc w:val="both"/>
      </w:pPr>
      <w:r>
        <w:rPr>
          <w:rFonts w:ascii="Arial" w:cs="Arial" w:eastAsia="Arial" w:hAnsi="Arial"/>
          <w:sz w:val="24"/>
          <w:szCs w:val="24"/>
        </w:rPr>
        <w:t xml:space="preserve">оказание поддержки пострадавшим муниципалитетам в разработке стандартов обращения с отходами во время COVID-19.</w:t>
      </w:r>
    </w:p>
    <w:p>
      <w:pPr>
        <w:spacing w:after="120"/>
        <w:jc w:val="both"/>
      </w:pPr>
      <w:r>
        <w:rPr>
          <w:rFonts w:ascii="Arial" w:cs="Arial" w:eastAsia="Arial" w:hAnsi="Arial"/>
          <w:sz w:val="24"/>
          <w:szCs w:val="24"/>
        </w:rPr>
        <w:t xml:space="preserve">Целевые домашние хозяйства охвачены наборами воды, санитарии и гигиены;</w:t>
      </w:r>
    </w:p>
    <w:p>
      <w:pPr>
        <w:spacing w:after="120"/>
        <w:jc w:val="both"/>
      </w:pPr>
      <w:r>
        <w:rPr>
          <w:rFonts w:ascii="Arial" w:cs="Arial" w:eastAsia="Arial" w:hAnsi="Arial"/>
          <w:sz w:val="24"/>
          <w:szCs w:val="24"/>
        </w:rPr>
        <w:t xml:space="preserve">обеспечение материально-техническими средствами МЧС для проведения дезинфицирующих мероприятий.</w:t>
      </w:r>
    </w:p>
    <w:p>
      <w:pPr>
        <w:spacing w:after="240" w:before="200"/>
        <w:jc w:val="center"/>
      </w:pPr>
      <w:r>
        <w:rPr>
          <w:rFonts w:ascii="Arial" w:cs="Arial" w:eastAsia="Arial" w:hAnsi="Arial"/>
          <w:b/>
          <w:bCs/>
          <w:sz w:val="32"/>
          <w:szCs w:val="32"/>
        </w:rPr>
        <w:t xml:space="preserve">Финансовые потребности</w:t>
      </w:r>
    </w:p>
    <w:p>
      <w:pPr>
        <w:spacing w:after="120"/>
        <w:jc w:val="both"/>
      </w:pPr>
      <w:r>
        <w:rPr>
          <w:rFonts w:ascii="Arial" w:cs="Arial" w:eastAsia="Arial" w:hAnsi="Arial"/>
          <w:sz w:val="24"/>
          <w:szCs w:val="24"/>
        </w:rPr>
        <w:t xml:space="preserve">Финансовые требования к приоритетным видам деятельности для шести приоритетных секторов приведены в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50"/>
        <w:gridCol w:w="3228"/>
      </w:tblGrid>
      <w:tr>
        <w:tc>
          <w:tcPr>
            <w:tcW w:type="dxa" w:w="69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Приоритетные сектора</w:t>
            </w:r>
          </w:p>
        </w:tc>
        <w:tc>
          <w:tcPr>
            <w:tcW w:type="dxa" w:w="32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 долларах США</w:t>
            </w:r>
          </w:p>
        </w:tc>
      </w:tr>
      <w:tr>
        <w:tc>
          <w:tcPr>
            <w:tcW w:type="dxa" w:w="6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15,800,000,00</w:t>
            </w:r>
          </w:p>
        </w:tc>
      </w:tr>
      <w:tr>
        <w:tc>
          <w:tcPr>
            <w:tcW w:type="dxa" w:w="6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Продовольственная безопасность и логистика</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13,429,000,00</w:t>
            </w:r>
          </w:p>
        </w:tc>
      </w:tr>
      <w:tr>
        <w:tc>
          <w:tcPr>
            <w:tcW w:type="dxa" w:w="6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 санитария, гигиена и непродовольственные товары</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1,400,000,00</w:t>
            </w:r>
          </w:p>
        </w:tc>
      </w:tr>
      <w:tr>
        <w:tc>
          <w:tcPr>
            <w:tcW w:type="dxa" w:w="6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Защита</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1,187,000,00</w:t>
            </w:r>
          </w:p>
        </w:tc>
      </w:tr>
      <w:tr>
        <w:tc>
          <w:tcPr>
            <w:tcW w:type="dxa" w:w="6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626,600,00</w:t>
            </w:r>
          </w:p>
        </w:tc>
      </w:tr>
      <w:tr>
        <w:tc>
          <w:tcPr>
            <w:tcW w:type="dxa" w:w="6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Ранее восстановление</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18,864,000,00</w:t>
            </w:r>
          </w:p>
        </w:tc>
      </w:tr>
      <w:tr>
        <w:tc>
          <w:tcPr>
            <w:tcW w:type="dxa" w:w="6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бюджет</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51,306,600,00</w:t>
            </w:r>
          </w:p>
        </w:tc>
      </w:tr>
    </w:tbl>
    <w:p>
      <w:pPr>
        <w:spacing w:after="120"/>
        <w:jc w:val="both"/>
      </w:pPr>
      <w:r>
        <w:rPr>
          <w:rFonts w:ascii="Arial" w:cs="Arial" w:eastAsia="Arial" w:hAnsi="Arial"/>
          <w:sz w:val="24"/>
          <w:szCs w:val="24"/>
        </w:rPr>
        <w:t xml:space="preserve">Чтобы быть эффективными, план реагирования и раннего восстановления должен постоянно улучшаться.</w:t>
      </w:r>
    </w:p>
    <w:p>
      <w:pPr>
        <w:spacing w:after="240" w:before="200"/>
        <w:jc w:val="center"/>
      </w:pPr>
      <w:r>
        <w:rPr>
          <w:rFonts w:ascii="Arial" w:cs="Arial" w:eastAsia="Arial" w:hAnsi="Arial"/>
          <w:b/>
          <w:bCs/>
          <w:sz w:val="32"/>
          <w:szCs w:val="32"/>
        </w:rPr>
        <w:t xml:space="preserve">Здравоохранение</w:t>
      </w:r>
    </w:p>
    <w:p>
      <w:pPr>
        <w:tabs>
          <w:tab w:val="right" w:pos="10178"/>
        </w:tabs>
        <w:spacing w:after="120"/>
      </w:pPr>
      <w:r>
        <w:rPr>
          <w:rFonts w:ascii="Arial" w:cs="Arial" w:eastAsia="Arial" w:hAnsi="Arial"/>
          <w:sz w:val="24"/>
          <w:szCs w:val="24"/>
        </w:rPr>
        <w:t xml:space="preserve">Количество нуждающихся</w:t>
      </w:r>
      <w:r>
        <w:rPr>
          <w:rFonts w:ascii="Arial" w:cs="Arial" w:eastAsia="Arial" w:hAnsi="Arial"/>
          <w:sz w:val="24"/>
          <w:szCs w:val="24"/>
        </w:rPr>
        <w:t xml:space="preserve">	</w:t>
      </w:r>
      <w:r>
        <w:rPr>
          <w:rFonts w:ascii="Arial" w:cs="Arial" w:eastAsia="Arial" w:hAnsi="Arial"/>
          <w:sz w:val="24"/>
          <w:szCs w:val="24"/>
        </w:rPr>
        <w:t xml:space="preserve">Потребность</w:t>
      </w:r>
    </w:p>
    <w:p>
      <w:pPr>
        <w:spacing w:after="120"/>
        <w:jc w:val="both"/>
      </w:pPr>
      <w:r>
        <w:rPr>
          <w:rFonts w:ascii="Arial" w:cs="Arial" w:eastAsia="Arial" w:hAnsi="Arial"/>
          <w:sz w:val="24"/>
          <w:szCs w:val="24"/>
        </w:rPr>
        <w:t xml:space="preserve">Данный План реагирования определяет процедуры и механизмы, процедуры сотрудничества партнеров сектора здравоохранения по мерам экстренного реагирования на коронавирусную инфекцию 2019 года (COVID-19). План определяет цели, стратегии и действия по реагированию на чрезвычайные ситуации, а также описывает структуру реагирования и распределение ролей и обязанностей, обеспечивающие систематизацию, согласованность и эффективность действий в чрезвычайных ситуациях. В соответствии с межсекторальным Планом реагирования на COVID-19, который был утвержден Премьер-министром Кыргызской Республики от 18 марта 2020 года, в данном плане определены меры по борьбе с COVID-19, а также позволяет определить области, которые требуют укрепления и наращивания потенциала, которые могут повлиять на принятие эффективных мер, а также потребности и возможности для их реализации посредством быстрой организации межведомственной координации, взаимодействия и оперативной поддержки с участием доноров, международных организаций, агентств ООН и других партнеров. План также предназначен для обеспечения эффективной координации с планами реагирования на местном, национальном и глобальном уровнях.</w:t>
      </w:r>
    </w:p>
    <w:p>
      <w:pPr>
        <w:spacing w:after="240" w:before="200"/>
        <w:jc w:val="center"/>
      </w:pPr>
      <w:r>
        <w:rPr>
          <w:rFonts w:ascii="Arial" w:cs="Arial" w:eastAsia="Arial" w:hAnsi="Arial"/>
          <w:b/>
          <w:bCs/>
          <w:sz w:val="32"/>
          <w:szCs w:val="32"/>
        </w:rPr>
        <w:t xml:space="preserve">Текущая ситуация в секторе</w:t>
      </w:r>
    </w:p>
    <w:p>
      <w:pPr>
        <w:spacing w:after="120"/>
        <w:jc w:val="both"/>
      </w:pPr>
      <w:r>
        <w:rPr>
          <w:rFonts w:ascii="Arial" w:cs="Arial" w:eastAsia="Arial" w:hAnsi="Arial"/>
          <w:sz w:val="24"/>
          <w:szCs w:val="24"/>
        </w:rPr>
        <w:t xml:space="preserve">Сектор здравоохранения состоит из двух основных координационных платформ: Группы координации и реагирования на чрезвычайные ситуации (ГКРЧС), возглавляемой Министерством здравоохранения Кыргызской Республики и ВОЗ и Координационного совета партнеров по развитию под руководством ВОЗ и Всемирного банка. Партнеры в секторе здравоохранения при технической поддержке ВОЗ разработали Страновой межсекторальный План готовности и реагирования на COVID-19, в котором были определены приоритетные области мероприятий по усилению подготовки, готовности и реагированию страны на COVID-19 в соответствии с Глобальным планом стратегических ответных действий.</w:t>
      </w:r>
    </w:p>
    <w:p>
      <w:pPr>
        <w:spacing w:after="120"/>
        <w:jc w:val="both"/>
      </w:pPr>
      <w:r>
        <w:rPr>
          <w:rFonts w:ascii="Arial" w:cs="Arial" w:eastAsia="Arial" w:hAnsi="Arial"/>
          <w:sz w:val="24"/>
          <w:szCs w:val="24"/>
        </w:rPr>
        <w:t xml:space="preserve">В данном Плане были определены следующие приоритетные направления:</w:t>
      </w:r>
    </w:p>
    <w:p>
      <w:pPr>
        <w:spacing w:after="120"/>
        <w:jc w:val="both"/>
      </w:pPr>
      <w:r>
        <w:rPr>
          <w:rFonts w:ascii="Arial" w:cs="Arial" w:eastAsia="Arial" w:hAnsi="Arial"/>
          <w:sz w:val="24"/>
          <w:szCs w:val="24"/>
        </w:rPr>
        <w:t xml:space="preserve">1. Координации на страновом уровне.</w:t>
      </w:r>
    </w:p>
    <w:p>
      <w:pPr>
        <w:spacing w:after="120"/>
        <w:jc w:val="both"/>
      </w:pPr>
      <w:r>
        <w:rPr>
          <w:rFonts w:ascii="Arial" w:cs="Arial" w:eastAsia="Arial" w:hAnsi="Arial"/>
          <w:sz w:val="24"/>
          <w:szCs w:val="24"/>
        </w:rPr>
        <w:t xml:space="preserve">2. Информирование о рисках и вовлечение населения.</w:t>
      </w:r>
    </w:p>
    <w:p>
      <w:pPr>
        <w:spacing w:after="120"/>
        <w:jc w:val="both"/>
      </w:pPr>
      <w:r>
        <w:rPr>
          <w:rFonts w:ascii="Arial" w:cs="Arial" w:eastAsia="Arial" w:hAnsi="Arial"/>
          <w:sz w:val="24"/>
          <w:szCs w:val="24"/>
        </w:rPr>
        <w:t xml:space="preserve">3. Эпиднадзор.</w:t>
      </w:r>
    </w:p>
    <w:p>
      <w:pPr>
        <w:spacing w:after="120"/>
        <w:jc w:val="both"/>
      </w:pPr>
      <w:r>
        <w:rPr>
          <w:rFonts w:ascii="Arial" w:cs="Arial" w:eastAsia="Arial" w:hAnsi="Arial"/>
          <w:sz w:val="24"/>
          <w:szCs w:val="24"/>
        </w:rPr>
        <w:t xml:space="preserve">4. Пункты въезда.</w:t>
      </w:r>
    </w:p>
    <w:p>
      <w:pPr>
        <w:spacing w:after="120"/>
        <w:jc w:val="both"/>
      </w:pPr>
      <w:r>
        <w:rPr>
          <w:rFonts w:ascii="Arial" w:cs="Arial" w:eastAsia="Arial" w:hAnsi="Arial"/>
          <w:sz w:val="24"/>
          <w:szCs w:val="24"/>
        </w:rPr>
        <w:t xml:space="preserve">5. Расследование случаев и быстрое реагирование.</w:t>
      </w:r>
    </w:p>
    <w:p>
      <w:pPr>
        <w:spacing w:after="120"/>
        <w:jc w:val="both"/>
      </w:pPr>
      <w:r>
        <w:rPr>
          <w:rFonts w:ascii="Arial" w:cs="Arial" w:eastAsia="Arial" w:hAnsi="Arial"/>
          <w:sz w:val="24"/>
          <w:szCs w:val="24"/>
        </w:rPr>
        <w:t xml:space="preserve">6. Национальная лабораторная система.</w:t>
      </w:r>
    </w:p>
    <w:p>
      <w:pPr>
        <w:spacing w:after="120"/>
        <w:jc w:val="both"/>
      </w:pPr>
      <w:r>
        <w:rPr>
          <w:rFonts w:ascii="Arial" w:cs="Arial" w:eastAsia="Arial" w:hAnsi="Arial"/>
          <w:sz w:val="24"/>
          <w:szCs w:val="24"/>
        </w:rPr>
        <w:t xml:space="preserve">7. Профилактика инфекций и инфекционный контроль (далее - ИК).</w:t>
      </w:r>
    </w:p>
    <w:p>
      <w:pPr>
        <w:spacing w:after="120"/>
        <w:jc w:val="both"/>
      </w:pPr>
      <w:r>
        <w:rPr>
          <w:rFonts w:ascii="Arial" w:cs="Arial" w:eastAsia="Arial" w:hAnsi="Arial"/>
          <w:sz w:val="24"/>
          <w:szCs w:val="24"/>
        </w:rPr>
        <w:t xml:space="preserve">8. Клиническое ведение случаев.</w:t>
      </w:r>
    </w:p>
    <w:p>
      <w:pPr>
        <w:spacing w:after="120"/>
        <w:jc w:val="both"/>
      </w:pPr>
      <w:r>
        <w:rPr>
          <w:rFonts w:ascii="Arial" w:cs="Arial" w:eastAsia="Arial" w:hAnsi="Arial"/>
          <w:sz w:val="24"/>
          <w:szCs w:val="24"/>
        </w:rPr>
        <w:t xml:space="preserve">9. Межсекторальные действия по смягчению социально-экономических последствий.</w:t>
      </w:r>
    </w:p>
    <w:p>
      <w:pPr>
        <w:spacing w:after="120"/>
        <w:jc w:val="both"/>
      </w:pPr>
      <w:r>
        <w:rPr>
          <w:rFonts w:ascii="Arial" w:cs="Arial" w:eastAsia="Arial" w:hAnsi="Arial"/>
          <w:sz w:val="24"/>
          <w:szCs w:val="24"/>
        </w:rPr>
        <w:t xml:space="preserve">10. Логистика и управление поставками.</w:t>
      </w:r>
    </w:p>
    <w:p>
      <w:pPr>
        <w:spacing w:after="120"/>
        <w:jc w:val="both"/>
      </w:pPr>
      <w:r>
        <w:rPr>
          <w:rFonts w:ascii="Arial" w:cs="Arial" w:eastAsia="Arial" w:hAnsi="Arial"/>
          <w:sz w:val="24"/>
          <w:szCs w:val="24"/>
        </w:rPr>
        <w:t xml:space="preserve">11. Управление медицинскими отходами.</w:t>
      </w:r>
    </w:p>
    <w:p>
      <w:pPr>
        <w:spacing w:after="120"/>
        <w:jc w:val="both"/>
      </w:pPr>
      <w:r>
        <w:rPr>
          <w:rFonts w:ascii="Arial" w:cs="Arial" w:eastAsia="Arial" w:hAnsi="Arial"/>
          <w:sz w:val="24"/>
          <w:szCs w:val="24"/>
        </w:rPr>
        <w:t xml:space="preserve">В январе 2020 года была проведена экспресс-оценка готовности сектора здравоохранения; оценка готовности больниц и лабораторий была проведена в феврале 2020 года, в Международном аэропорту "Манас" проведены учения, и в соответствии с полученными результатами были определены и запланированы мероприятия по обеспечению готовности и реагированию (подготовка специалистов на местах, обеспечение необходимыми материалами и оборудованием, информирование общественности).</w:t>
      </w:r>
    </w:p>
    <w:p>
      <w:pPr>
        <w:spacing w:after="240" w:before="200"/>
        <w:jc w:val="center"/>
      </w:pPr>
      <w:r>
        <w:rPr>
          <w:rFonts w:ascii="Arial" w:cs="Arial" w:eastAsia="Arial" w:hAnsi="Arial"/>
          <w:b/>
          <w:bCs/>
          <w:sz w:val="32"/>
          <w:szCs w:val="32"/>
        </w:rPr>
        <w:t xml:space="preserve">Задачи сектора</w:t>
      </w:r>
    </w:p>
    <w:p>
      <w:pPr>
        <w:spacing w:after="120"/>
        <w:jc w:val="both"/>
      </w:pPr>
      <w:r>
        <w:rPr>
          <w:rFonts w:ascii="Arial" w:cs="Arial" w:eastAsia="Arial" w:hAnsi="Arial"/>
          <w:sz w:val="24"/>
          <w:szCs w:val="24"/>
        </w:rPr>
        <w:t xml:space="preserve">Общая цель настоящего Плана обеспечения готовности и реагирования состоит в оказании поддержки Правительству Кыргызской Республики и Министерству здравоохранения Кыргызской Республики в руководстве и обеспечении эффективного, своевременного и скоординированного реагирования, смягчающего воздействие вспышки COVID-19 в Кыргызской Республике, за счет четкого координационного механизма реагирования и стратегии, а также четко определенных ролей и обязанностей всех соответствующих национальных и международных партнеров.</w:t>
      </w:r>
    </w:p>
    <w:p>
      <w:pPr>
        <w:spacing w:after="240" w:before="200"/>
        <w:jc w:val="center"/>
      </w:pPr>
      <w:r>
        <w:rPr>
          <w:rFonts w:ascii="Arial" w:cs="Arial" w:eastAsia="Arial" w:hAnsi="Arial"/>
          <w:b/>
          <w:bCs/>
          <w:sz w:val="32"/>
          <w:szCs w:val="32"/>
        </w:rPr>
        <w:t xml:space="preserve">Ожидаемые результаты</w:t>
      </w:r>
    </w:p>
    <w:p>
      <w:pPr>
        <w:spacing w:after="120"/>
        <w:jc w:val="both"/>
      </w:pPr>
      <w:r>
        <w:rPr>
          <w:rFonts w:ascii="Arial" w:cs="Arial" w:eastAsia="Arial" w:hAnsi="Arial"/>
          <w:sz w:val="24"/>
          <w:szCs w:val="24"/>
        </w:rPr>
        <w:t xml:space="preserve">Ограничить передачу вируса от человека к человеку, включая снижение вторичных инфекций среди близких контактных лиц и медицинских работников; предотвращение случаев амплификации передачи и недопущение дальнейшего международного распространения.</w:t>
      </w:r>
    </w:p>
    <w:p>
      <w:pPr>
        <w:spacing w:after="120"/>
        <w:jc w:val="both"/>
      </w:pPr>
      <w:r>
        <w:rPr>
          <w:rFonts w:ascii="Arial" w:cs="Arial" w:eastAsia="Arial" w:hAnsi="Arial"/>
          <w:sz w:val="24"/>
          <w:szCs w:val="24"/>
        </w:rPr>
        <w:t xml:space="preserve">Смягчить воздействие эпидемии в стране в случае устойчивой передачи инфекции среди населения.</w:t>
      </w:r>
    </w:p>
    <w:p>
      <w:pPr>
        <w:spacing w:after="240" w:before="200"/>
        <w:jc w:val="center"/>
      </w:pPr>
      <w:r>
        <w:rPr>
          <w:rFonts w:ascii="Arial" w:cs="Arial" w:eastAsia="Arial" w:hAnsi="Arial"/>
          <w:b/>
          <w:bCs/>
          <w:sz w:val="32"/>
          <w:szCs w:val="32"/>
        </w:rPr>
        <w:t xml:space="preserve">Мероприятия сектора и бюджет</w:t>
      </w:r>
    </w:p>
    <w:p>
      <w:pPr>
        <w:spacing w:after="120"/>
        <w:jc w:val="both"/>
      </w:pPr>
      <w:r>
        <w:rPr>
          <w:rFonts w:ascii="Arial" w:cs="Arial" w:eastAsia="Arial" w:hAnsi="Arial"/>
          <w:sz w:val="24"/>
          <w:szCs w:val="24"/>
        </w:rPr>
        <w:t xml:space="preserve">Бюджет для реализации мероприятий межсекторального Плана реагирования сектора здравоохранения на COVID-19 составил по расчету общую сумму 15,800,000,00 долл. США. После активации чрезвычайной ситуации партнеры усилили реагирование, реализуя стратегические вмешательства в соответствии с установленными приоритетами.</w:t>
      </w:r>
    </w:p>
    <w:p>
      <w:pPr>
        <w:spacing w:after="120"/>
        <w:jc w:val="both"/>
      </w:pPr>
      <w:r>
        <w:rPr>
          <w:rFonts w:ascii="Arial" w:cs="Arial" w:eastAsia="Arial" w:hAnsi="Arial"/>
          <w:sz w:val="24"/>
          <w:szCs w:val="24"/>
        </w:rPr>
        <w:t xml:space="preserve">В приведенной ниже таблице представлен обзор всех действий и поставок с указанием сроков, в дополнение к сумме финансовых ресурсов, мобилизованных до 3 апреля 2020 апреля.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2"/>
        <w:gridCol w:w="1203"/>
        <w:gridCol w:w="1683"/>
        <w:gridCol w:w="2489"/>
        <w:gridCol w:w="1445"/>
        <w:gridCol w:w="1296"/>
      </w:tblGrid>
      <w:tr>
        <w:tc>
          <w:tcPr>
            <w:tcW w:type="dxa" w:w="20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Организация/Агентство</w:t>
            </w:r>
          </w:p>
        </w:tc>
        <w:tc>
          <w:tcPr>
            <w:tcW w:type="dxa" w:w="12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 долларах США</w:t>
            </w:r>
          </w:p>
        </w:tc>
        <w:tc>
          <w:tcPr>
            <w:tcW w:type="dxa" w:w="16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Компонент реагирования в секторе здравоохранения</w:t>
            </w:r>
          </w:p>
        </w:tc>
        <w:tc>
          <w:tcPr>
            <w:tcW w:type="dxa" w:w="24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c>
          <w:tcPr>
            <w:tcW w:type="dxa" w:w="14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реализации</w:t>
            </w:r>
          </w:p>
        </w:tc>
        <w:tc>
          <w:tcPr>
            <w:tcW w:type="dxa" w:w="12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симуляционных учений для тестирования механизмов реагирования на центральном уровне</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журналистов принципам информирования о рисках и репортажам по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печать коммуникационных материалов (видео, постеры, листовки, брошюры и т.д.)</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Эпиднадзор</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печать и распространение учебных программ, инструментов и руководств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Эпиднадзор</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работников здравоохранения применению определения случая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Эпиднадзор</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группы быстрого реагирования расследованию случаев и отслеживанию контактных лиц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въезда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печать и распространение Плана действий в чрезвычайных ситуациях для пунктов въезда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въезда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персонала пунктов въезда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Назначенные вирусологические лаборатории обеспечиваются необходимыми реактивами и расходными материалами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печать и распространение учебных программ, инструментов и руководств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специалистов лабораторий</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программы инфекционного контроля в соответствии с руководством ВОЗ по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печать и распространение учебных программ, инструментов и руководств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Обучить работников здравоохранения по инфекционному контролю</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Клиническое 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печать и распространение учебных программ, инструментов и руководств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персонала назначенных больниц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среди населения с акцентом на группы высокого риска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Логистическая поддержка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транспорта и питания в Штаб Ошской области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обучение и повышение квалификации провайдеров при посещении семей с маленькими детьми, для своевременного выявления и профилактики COVID-19, как части плановых услуг</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Адвокаси/продвижение и поддержка МЗ в разработке стандартов по COVID-19 на основе рекомендаций ВОЗ (новорожденные, здоровье детей)</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двусторонней коммуникации с сельскими комитетами по вопросам здоровья через онлайн-платформу и использование электронных и социальных сетей для повышения осведомленности среди групп населения высокого риска и получения от них обратной связи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Продолжение предоставления образовательных услуг</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распространения и реализации соответствующих рекомендаций по грудному вскармливанию и прикорму в контексте COVID-19, обеспечение замещающего вскармливания для детей, которые не могут находиться на грудном вскармливании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средств индивидуальной защиты, медицинского оборудования (вентиляторы, концентраторы кислорода, пульсовые оксиметры) и запасных частей за счет средств Азиатского Банка Развития. Частично перенесена в систему снабжения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индивидуальной защиты переданы аварийным работникам, занимающимся дезинфекцией (2000 ботинок и 680 защитных костюмов)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гигиены для профилактики COVID-19 для детских учреждений и социальных работников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Переданное медицинское оборудование для новорожденных и детей (2 CPAPS, 32 грелки, 10 мониторов для каждого, пульсоксиметры, ларингоскопы)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Министерства здравоохранения Кыргызской Республики в сохранении существующих основных служб питания, в том числе в закупке основных продуктов питания для уязвимых детей и беременных женщин</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журналистов принципам информирования о рисках и репортажам по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информационных материалов по COVID-19 для заключенных и медицинского персонала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256,800,00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10 аппаратов ИВЛ для распределения: НТП (2), Государственная служба исполнения наказаний (2), Республиканская клиническая инфекционная больница (2), Ошская областная больница (2), Джалал-Абадская областная больница (2)</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50000 масок для медицинского персонала, находящегося в непосредственном контакте с пациентами, инфицированными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138,794,00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6550 тестов на COVID-19 для использования на 30 платформах GeneExperts в противотуберкулезных учреждениях и центрах СПИД для выявления случаев COVID-19 среди пациентов с ВИЧ</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транспорта Джалал-Абадской мобильной бригаде</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печать и распространение материалов: брошюра для беременных женщин о рисках COVID-19, симптомах, передаче; контакты родильных домов при подозрении на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среди населения о COVID-19, связанной с этим заболеванием стигме и дискриминации с акцентом на группы высокого риска через аутрич-добровольцев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Швейцария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мобильных бригад Чуйского областного ЦСМ и ЦСМ Первомайского района средствами индивидуальной защиты:</w:t>
            </w:r>
          </w:p>
          <w:p>
            <w:pPr>
              <w:jc w:val="left"/>
            </w:pPr>
            <w:r>
              <w:rPr>
                <w:rFonts w:ascii="Arial" w:cs="Arial" w:eastAsia="Arial" w:hAnsi="Arial"/>
                <w:sz w:val="24"/>
                <w:szCs w:val="24"/>
              </w:rPr>
              <w:t xml:space="preserve">защитный противоэпидемический костюм - 2020;</w:t>
            </w:r>
          </w:p>
          <w:p>
            <w:pPr>
              <w:jc w:val="left"/>
            </w:pPr>
            <w:r>
              <w:rPr>
                <w:rFonts w:ascii="Arial" w:cs="Arial" w:eastAsia="Arial" w:hAnsi="Arial"/>
                <w:sz w:val="24"/>
                <w:szCs w:val="24"/>
              </w:rPr>
              <w:t xml:space="preserve">медицинский одноразовый халат - 1335;</w:t>
            </w:r>
          </w:p>
          <w:p>
            <w:pPr>
              <w:jc w:val="left"/>
            </w:pPr>
            <w:r>
              <w:rPr>
                <w:rFonts w:ascii="Arial" w:cs="Arial" w:eastAsia="Arial" w:hAnsi="Arial"/>
                <w:sz w:val="24"/>
                <w:szCs w:val="24"/>
              </w:rPr>
              <w:t xml:space="preserve">медицинская одноразовая маска - 6000;</w:t>
            </w:r>
          </w:p>
          <w:p>
            <w:pPr>
              <w:jc w:val="left"/>
            </w:pPr>
            <w:r>
              <w:rPr>
                <w:rFonts w:ascii="Arial" w:cs="Arial" w:eastAsia="Arial" w:hAnsi="Arial"/>
                <w:sz w:val="24"/>
                <w:szCs w:val="24"/>
              </w:rPr>
              <w:t xml:space="preserve">защитные очки - 400;</w:t>
            </w:r>
          </w:p>
          <w:p>
            <w:pPr>
              <w:jc w:val="left"/>
            </w:pPr>
            <w:r>
              <w:rPr>
                <w:rFonts w:ascii="Arial" w:cs="Arial" w:eastAsia="Arial" w:hAnsi="Arial"/>
                <w:sz w:val="24"/>
                <w:szCs w:val="24"/>
              </w:rPr>
              <w:t xml:space="preserve">респиратор для защиты от взвешенных веществ - 99;</w:t>
            </w:r>
          </w:p>
          <w:p>
            <w:pPr>
              <w:jc w:val="left"/>
            </w:pPr>
            <w:r>
              <w:rPr>
                <w:rFonts w:ascii="Arial" w:cs="Arial" w:eastAsia="Arial" w:hAnsi="Arial"/>
                <w:sz w:val="24"/>
                <w:szCs w:val="24"/>
              </w:rPr>
              <w:t xml:space="preserve">фильтры для респираторов - 490;</w:t>
            </w:r>
          </w:p>
          <w:p>
            <w:pPr>
              <w:jc w:val="left"/>
            </w:pPr>
            <w:r>
              <w:rPr>
                <w:rFonts w:ascii="Arial" w:cs="Arial" w:eastAsia="Arial" w:hAnsi="Arial"/>
                <w:sz w:val="24"/>
                <w:szCs w:val="24"/>
              </w:rPr>
              <w:t xml:space="preserve">смотровые перчатки - 9700;</w:t>
            </w:r>
          </w:p>
          <w:p>
            <w:pPr>
              <w:jc w:val="left"/>
            </w:pPr>
            <w:r>
              <w:rPr>
                <w:rFonts w:ascii="Arial" w:cs="Arial" w:eastAsia="Arial" w:hAnsi="Arial"/>
                <w:sz w:val="24"/>
                <w:szCs w:val="24"/>
              </w:rPr>
              <w:t xml:space="preserve">одноразовый шпатель - 24100;</w:t>
            </w:r>
          </w:p>
          <w:p>
            <w:pPr>
              <w:jc w:val="left"/>
            </w:pPr>
            <w:r>
              <w:rPr>
                <w:rFonts w:ascii="Arial" w:cs="Arial" w:eastAsia="Arial" w:hAnsi="Arial"/>
                <w:sz w:val="24"/>
                <w:szCs w:val="24"/>
              </w:rPr>
              <w:t xml:space="preserve">дезинфицирующие средства для рук на спиртовой основе, флакон 65 мл - 2980;</w:t>
            </w:r>
          </w:p>
          <w:p>
            <w:pPr>
              <w:jc w:val="left"/>
            </w:pPr>
            <w:r>
              <w:rPr>
                <w:rFonts w:ascii="Arial" w:cs="Arial" w:eastAsia="Arial" w:hAnsi="Arial"/>
                <w:sz w:val="24"/>
                <w:szCs w:val="24"/>
              </w:rPr>
              <w:t xml:space="preserve">дезинфицирующее средство для рук на спиртовой основе, бутылка 900 мл - 100;</w:t>
            </w:r>
          </w:p>
          <w:p>
            <w:pPr>
              <w:jc w:val="left"/>
            </w:pPr>
            <w:r>
              <w:rPr>
                <w:rFonts w:ascii="Arial" w:cs="Arial" w:eastAsia="Arial" w:hAnsi="Arial"/>
                <w:sz w:val="24"/>
                <w:szCs w:val="24"/>
              </w:rPr>
              <w:t xml:space="preserve">мешок для биологических опасных отходов - 2900;</w:t>
            </w:r>
          </w:p>
          <w:p>
            <w:pPr>
              <w:jc w:val="left"/>
            </w:pPr>
            <w:r>
              <w:rPr>
                <w:rFonts w:ascii="Arial" w:cs="Arial" w:eastAsia="Arial" w:hAnsi="Arial"/>
                <w:sz w:val="24"/>
                <w:szCs w:val="24"/>
              </w:rPr>
              <w:t xml:space="preserve">закупка 35 концентраторов кислорода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включая маски и СИЗ, закупленные через ЮНИСЕФ, и расходные материалы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Евросоюз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"Укрепление организаций гражданского общества и участие молодежи в местном социально-экономическом развитии - информирование общественности о COVID-19, как психологическая поддержка и осведомленность о психическом здоровье; продовольственная поддержка уязвимых групп, внедрение общинных инфраструктур в качестве реабилитации общинных систем водоснабжения, подключение местных школ и медицинских учреждений к вновь построенным и существующим сетям водоснабжения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Евросоюз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"Расширение прав и возможностей общинных организаций/СВО и ОМУ/LA в целях содействия социально-экономическому развитию в Лейлекском районе" - социально-экономическая деятельность, поддержка уязвимых групп населения, поддержка сельских центров здоровья за счет санитарно-гигиенических наборов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Евросоюз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4,392,00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средств индивидуальной защиты и оборудования (защитные костюмы, защитные очки и респираторные маски) в Государственную таможенную службу при Правительстве Кыргызской Республики (на 360000 сомов). Защитные костюмы - 250 штук; защитные очки - 250 шт., маски медицинские - 250 шт.</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Евросоюз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Глобальный вклад в реализацию Глобального стратегического плана обеспечения готовности и реагирования ВОЗ (SPRP) на COVID-19 - 113,5 млн. Евро для всех стран мира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MSF/Врачи без границ</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мобильных бригад COVID-19 в Кадамжае: до 6 наземных бригад, техническое обслуживание, топливо, водители (12 часов в день, 7 дней в неделю) поддержка, техническая экспертиза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MSF/Врачи без границ</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медицинских учреждений Кадамжая с последующими техническими и практическими работами (незначительная реабилитация), оборудованием и материалами для снижения внутрибольничных инфекций путем улучшения сортировки/потока/разделения пациентов, дезинфекции в медицинских учреждениях Кадамжая, принимающих пациентов с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MSF/Врачи без границ</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в феврале и марте предоставлены средства индивидуальной защиты МЧС (на национальном уровне) и МЗ в Кадамжайский район</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Перевод материалов, связанных с COVID-19, на официальный и государственный языки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Поддержка и укрепление кадрового потенциала (тренинги, вебинары и т.д.)</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Информирование о рисках и вовлечение сообщества (разработка, распространение и адаптация/принятие ключевых сообщений для широких слоев населения)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Распечатка и распространение информационных материалов для общественности, включая с помощью традиционных и социальных медиа-каналов (ТВ-сессии, радио, видео-вырезки)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Поддержка национальных или региональных телефонов доверия (горячих линий) для поддержки пострадавших, сбора и анализа информации обратной связи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Проведение целевой кампании по борьбе с поддельными новостями и снижению стигмы и дискриминации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Предоставление базовой психосоциальной поддержки пострадавшему населению (лицом к лицу и на расстоянии)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Многоцелевая денежная и продовольственная поддержка наиболее уязвимых групп населения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въезда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Поддержка МЗ в международном аэропорту - скрининг и средства индивидуальной защиты для пассажиров, помещаемых под карантин (когда границы открыты для поездок на работу)</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Организация и поддержка региональных и национальных координационных совещаний (в том числе онлайн), форумов, обсуждений извлеченных уроков, обеспечивающих представительное участие, в т.ч. за счет участия затронутых сообществ и уязвимых групп</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глобального воззвания Международной федерации красного креста и полумесяца. Средства индивидуальной защиты для сотрудников, волонтеров и наиболее уязвимых лиц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НОКП КР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местного медицинского персонала, в том числе из пунктов наблюдения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и распространение Клинических Протоколов по ведению случаев для всех больниц, для распространения информации, обучения и повышения квалификации медицинских/амбулаторных бригад (через Грантовое Соглашение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персонала назначенных больниц (через Грантовое Соглашение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Руководства по беременности, родам и послеродовому уходу в контексте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разъяснительной работы среди населения с акцентом на группы высокого риска (через местные субсидии для Национального общества Красного Полумесяца)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выполнения Плана и готовности учреждений (через Грантовое Соглашение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возможностей Ошского областного Штаба по COVID-19 и местных органов здравоохранения для обеспечения эффективного местного управления путем поддержки координации партнеров и доноров в городе Ош</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разъяснительной работы среди населения с уделением особого внимания группам высокого риска в ГСИН (через местные субсидии для Восток-Запад/AFEW</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и поставка средств индивидуальной защиты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программы по инфекционному контролю в соответствии с руководством ВОЗ по COVID-19 (через грантовое Соглашение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учебной программы и материалов для обеспечения соответствия основным принципам инфекционного контроля на уровне первой точки оказания помощи пациентам: сортировка, ранняя (по грантовому Соглашению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процессов и механизмов управления и контроля в ЦСМ в городе Ош по профилактике и борьбе с инфекциями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учебных материалов и учебных программ для подготовки специалистов лаборатории (через грантовое Соглашение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планов развертывания дополнительных мощностей на случай повышенного спроса на тестирование в случае распространения инфекции на уровне сообщества (через грантовое Соглашение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тренингов для лабораторных специалистов (через Грантовое Соглашение с ВОЗ)</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потенциала сотрудников лаборатории по профилактике инфекций и борьбе с инфекциями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вирусологические лаборатории обеспечены необходимыми реагентами и расходными материалами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Логистическая поддержка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транспорта и питания для Ошского областного Штаба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Германия/GIZ</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средств индивидуальной защиты сотрудникам местных органов власти, контролирующих мероприятия в период карантина (местная субсидия для Национального общества Красного Полумесяца)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мероприятия, включая расходы на TDY и контракты Nunc</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15,424,00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 энтеровируса, приблизительная стоимость</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материалы, обучение и расходы на одного участника 30 долл. США/за экземпляр, 2000 экземпляров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автоматизированная станция ПЦР 500К; 7 Rotor-Gene Q5/7K; шкафы биобезопасности 5/30К, 30/образец, 2000 образцов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Коммуникация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машины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тепловизоров, 1000 термометров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термометров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рабочих столов, 30 ноутбуков, 30 планшетов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мероприятия, включая расходы TDY и контракты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мероприятия, включая расходы TDY и контракты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CDC/ICAP</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ICAP в Центральной Азии получил разрешение CDC на закупку следующих товаров: Медицинские перчатки, латексные, не стерильные (100 штук в 1 упаковке);</w:t>
            </w:r>
          </w:p>
          <w:p>
            <w:pPr>
              <w:jc w:val="left"/>
            </w:pPr>
            <w:r>
              <w:rPr>
                <w:rFonts w:ascii="Arial" w:cs="Arial" w:eastAsia="Arial" w:hAnsi="Arial"/>
                <w:sz w:val="24"/>
                <w:szCs w:val="24"/>
              </w:rPr>
              <w:t xml:space="preserve">Многоразовые защитные костюмы, в том числе многоразовые многослойные маски и одноразовые бахилы;</w:t>
            </w:r>
          </w:p>
          <w:p>
            <w:pPr>
              <w:jc w:val="left"/>
            </w:pPr>
            <w:r>
              <w:rPr>
                <w:rFonts w:ascii="Arial" w:cs="Arial" w:eastAsia="Arial" w:hAnsi="Arial"/>
                <w:sz w:val="24"/>
                <w:szCs w:val="24"/>
              </w:rPr>
              <w:t xml:space="preserve">Респираторы;</w:t>
            </w:r>
          </w:p>
          <w:p>
            <w:pPr>
              <w:jc w:val="left"/>
            </w:pPr>
            <w:r>
              <w:rPr>
                <w:rFonts w:ascii="Arial" w:cs="Arial" w:eastAsia="Arial" w:hAnsi="Arial"/>
                <w:sz w:val="24"/>
                <w:szCs w:val="24"/>
              </w:rPr>
              <w:t xml:space="preserve">Одноразовые хирургические маски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MOM</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организация по миграции поддерживает уязвимых мигрантов, оказавшихся в аэропортах Российской Федерации средствами индивидуальной защиты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14,262,600,00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Дружественная клиника Турция-Кыргызстан была передана Министерству здравоохранения Кыргызстана в качестве карантинной больницы. Это самая современная больница на территории республики с 2 операционными, 72 койкой и 22 вентиляционными отделениями в больнице в городе Бишкек. Тем не менее, вместимость больницы может быть легко увеличена за счет добавления других коек</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110,376,00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Инфекционная больница в Баткенской области, полностью отремонтированная при поддержке TIKA в конце 2019 года, является центром борьбы с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19,464,00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TIKA поставляет:</w:t>
            </w:r>
          </w:p>
          <w:p>
            <w:pPr>
              <w:jc w:val="left"/>
            </w:pPr>
            <w:r>
              <w:rPr>
                <w:rFonts w:ascii="Arial" w:cs="Arial" w:eastAsia="Arial" w:hAnsi="Arial"/>
                <w:sz w:val="24"/>
                <w:szCs w:val="24"/>
              </w:rPr>
              <w:t xml:space="preserve">500 продуктовых наборов;</w:t>
            </w:r>
          </w:p>
          <w:p>
            <w:pPr>
              <w:jc w:val="left"/>
            </w:pPr>
            <w:r>
              <w:rPr>
                <w:rFonts w:ascii="Arial" w:cs="Arial" w:eastAsia="Arial" w:hAnsi="Arial"/>
                <w:sz w:val="24"/>
                <w:szCs w:val="24"/>
              </w:rPr>
              <w:t xml:space="preserve">4500 медицинских масок;</w:t>
            </w:r>
          </w:p>
          <w:p>
            <w:pPr>
              <w:jc w:val="left"/>
            </w:pPr>
            <w:r>
              <w:rPr>
                <w:rFonts w:ascii="Arial" w:cs="Arial" w:eastAsia="Arial" w:hAnsi="Arial"/>
                <w:sz w:val="24"/>
                <w:szCs w:val="24"/>
              </w:rPr>
              <w:t xml:space="preserve">4500 защитных перчаток;</w:t>
            </w:r>
          </w:p>
          <w:p>
            <w:pPr>
              <w:jc w:val="left"/>
            </w:pPr>
            <w:r>
              <w:rPr>
                <w:rFonts w:ascii="Arial" w:cs="Arial" w:eastAsia="Arial" w:hAnsi="Arial"/>
                <w:sz w:val="24"/>
                <w:szCs w:val="24"/>
              </w:rPr>
              <w:t xml:space="preserve">600 медицинских комбинезонов;</w:t>
            </w:r>
          </w:p>
          <w:p>
            <w:pPr>
              <w:jc w:val="left"/>
            </w:pPr>
            <w:r>
              <w:rPr>
                <w:rFonts w:ascii="Arial" w:cs="Arial" w:eastAsia="Arial" w:hAnsi="Arial"/>
                <w:sz w:val="24"/>
                <w:szCs w:val="24"/>
              </w:rPr>
              <w:t xml:space="preserve">500 медицинских очков;</w:t>
            </w:r>
          </w:p>
          <w:p>
            <w:pPr>
              <w:jc w:val="left"/>
            </w:pPr>
            <w:r>
              <w:rPr>
                <w:rFonts w:ascii="Arial" w:cs="Arial" w:eastAsia="Arial" w:hAnsi="Arial"/>
                <w:sz w:val="24"/>
                <w:szCs w:val="24"/>
              </w:rPr>
              <w:t xml:space="preserve">1100 антисептиков через Министерство здравоохранения Кыргызской Республики, Министерство труда и социального развития Кыргызской Республики и НОКП</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Доставлено 100 одноразовых халатов, 100 масок N 95, 5000 масок передано безвозмездно</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финансирования</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Поставлено 200 тестовых наборов для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оборудование и обучение</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оборудование</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и поставка средств индивидуальной защиты для групп быстрого реагирования, 24 специализированных карантинных больниц, ПМСП, ОИТ и специализированных больниц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оборудование для диагностики для ЗПТ, 24 специализированных карантинных больниц, ПМСП, ОИТ и специализированных больниц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Респираторное вспомогательное оборудование</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приборы для диагностики ЗПТ, 24 назначенных карантинных больниц, ПМСП, ОИТ и специализированных больниц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Жизненно важные лекарственные средства, необходимые для диагностики ЗПТ, 24 назначенных карантинных стационара, ПМСП, ОИТ и назначенные больницы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13 полностью оборудованных машин скорой помощи - Advanced Life Support (ALS)</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реагенты, необходимые для диагностики ЗПТ, 24 назначенных карантинных больниц, ПМСП, ОИТ и специализированных больниц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Дезинфицирующие средства для ЗПТ, 24 назначенных карантинных стационара, ПМСП, ОИТ и специализированных стационаров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продукты (бумажные полотенца, жидкое мыло, транспортные контейнеры и т.д.)</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и последовательно применяемые методы обращения с отходами в медицинских учреждениях, включая закупку оборудования</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медицинскими отходами</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Два местных консультанта (технический координатор здравоохранения и специалист по экологической безопасности)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банк/ERIK</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Два местных консультанта (технический координатор здравоохранения и специалист по экологической безопасности)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инвентарь для 8 зон наблюдения в 7 регионах и в городе Бишкек в соответствии с правилами МПК</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вовлечения частного сектора в выявление и наблюдение за случаями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Термометры (стационарные и мобильные)</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для РРЦ, пунктов въезда, перевозки лабораторных образцов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инвентарь для 8 зон наблюдения в 7 регионах и в городе Бишкек в соответствии с правилами МПК</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ЗПТ для расследования случаев и отслеживания контактов (телефоны, планшеты, компьютеры, сумки и т.д.)</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укрепление инфраструктуры 20 пунктов пропуска</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8 зон наблюдения в 7 регионах и городе Бишкек в соответствии с правилами МПК</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Лабораторная служба</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реактивы и расходные материалы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оборудования и лекарств для ПМСП и/или больниц</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Необходимое материально-техническое оборудование для ведения (16 отделений интенсивной терапии на 195 коек)</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15 полностью оборудованных машин скорой помощи</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расходы на временное жилье для медицинских работников, занимающихся уходом за пациентами с короной</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продовольствием временного жилья для работников здравоохранения, занимающихся уходом за пациентами с короной</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случаев</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в больницы и лаборатории для наращивания потенциала для размещения пациентов с COVID</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банк/COVID-19</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затраты</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2020-2022 годы</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УВКБ</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68,086,00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УВКБ доставлено Пограничной Службе КР:</w:t>
            </w:r>
          </w:p>
          <w:p>
            <w:pPr>
              <w:jc w:val="left"/>
            </w:pPr>
            <w:r>
              <w:rPr>
                <w:rFonts w:ascii="Arial" w:cs="Arial" w:eastAsia="Arial" w:hAnsi="Arial"/>
                <w:sz w:val="24"/>
                <w:szCs w:val="24"/>
              </w:rPr>
              <w:t xml:space="preserve">Одноразовая хирургическая маска 30000 штук</w:t>
            </w:r>
          </w:p>
          <w:p>
            <w:pPr>
              <w:jc w:val="left"/>
            </w:pPr>
            <w:r>
              <w:rPr>
                <w:rFonts w:ascii="Arial" w:cs="Arial" w:eastAsia="Arial" w:hAnsi="Arial"/>
                <w:sz w:val="24"/>
                <w:szCs w:val="24"/>
              </w:rPr>
              <w:t xml:space="preserve">Респиратор для твердых частиц N95 5535 штук</w:t>
            </w:r>
          </w:p>
          <w:p>
            <w:pPr>
              <w:jc w:val="left"/>
            </w:pPr>
            <w:r>
              <w:rPr>
                <w:rFonts w:ascii="Arial" w:cs="Arial" w:eastAsia="Arial" w:hAnsi="Arial"/>
                <w:sz w:val="24"/>
                <w:szCs w:val="24"/>
              </w:rPr>
              <w:t xml:space="preserve">Нестерильные смотровые перчатки 30000 пар</w:t>
            </w:r>
          </w:p>
          <w:p>
            <w:pPr>
              <w:jc w:val="left"/>
            </w:pPr>
            <w:r>
              <w:rPr>
                <w:rFonts w:ascii="Arial" w:cs="Arial" w:eastAsia="Arial" w:hAnsi="Arial"/>
                <w:sz w:val="24"/>
                <w:szCs w:val="24"/>
              </w:rPr>
              <w:t xml:space="preserve">Антисептический спрей (1 литр) 10000 литров</w:t>
            </w:r>
          </w:p>
          <w:p>
            <w:pPr>
              <w:jc w:val="left"/>
            </w:pPr>
            <w:r>
              <w:rPr>
                <w:rFonts w:ascii="Arial" w:cs="Arial" w:eastAsia="Arial" w:hAnsi="Arial"/>
                <w:sz w:val="24"/>
                <w:szCs w:val="24"/>
              </w:rPr>
              <w:t xml:space="preserve">Таблетки для дезинфекции натрия дихлоризоцианурат # 300 500 банок Automax для дезинфекции спрей 100 наборов, резиновые сапоги 100 пар</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Организация Ага Хана по развитию в Кыргызской Республике/Программа поддержки развития горных сообществ Кыргызстана</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Реформировать существующие видеоуроки по дородовому уходу, уходу за новорожденными и послеродовым периодом, WASH для распространения через WhatsApp</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Нарынская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Программа поддержки развития горных сообществ Кыргызстана</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Обучить инструкторов Родительской школы онлайн-консультациям и проверке знаний беременных женщин</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Нарынская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Программа поддержки развития горных сообществ Кыргызстана</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сообщений о дородовом уходе, уходе за новорожденным и послеродовом периоде, профилактике WASH и COVID-19 в 26 школах для родителей и 49 центрах для родителей</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Нарынская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Организация Ага Хана по развитию в Кыргызской Республике</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инфекционный контроль</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СИЗ работникам здравоохранения и эпидемиологам</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Нарынская область, Баткенская область, Джалал-Абадская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Программа поддержки развития горных сообществ Кыргызстана</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Поддерживать модераторов комитета по школьному здоровью в получении знаний об онлайн-инструментах обучения и переформатировании школьных уроков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Нарынская область</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МККК</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контроль инфекций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материалов МПК для пенитенциарных учреждений Государственной службы исполнения наказаний № 2, 21, 31 и 47 в ответ на COVID-19 от 30 марта 2020 года и техническая поддержка в разработке плана действий в чрезвычайных ситуациях для конкретной тюрьмы с блок-схемой/алгоритм и СОП для скрининга, наблюдения и ведения случая. 9 апреля МККК в тесном сотрудничестве с руководством ГСИН организовал телетренинг для инструкторов директоров и руководителей медицинских учреждений 17 пенитенциарных учреждений (включая 2 поселения-поселения) и некоторых департаментов Центральных учреждений с участием 28 медицинских работников, и 19 административных сотрудников на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МККК</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МККК оказывает финансовую поддержку РЦСК с предоставлением 800 экзаменационных перчаток и определением психолога в региональное отделение Джалал-Абадской области на 6 месяцев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МККК</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контроль инфекций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основных материалов МПК временным местам содержания МВД в отделениях милиции Бишкека, Джалал-Абада, Ноокена, Сузака, Канта, Сокулука, Токтогула, Таласа, Кара-Буры, Баткена, Кызыл-Кии, Оша и Нооката. МККК предоставил техническую экспертизу с проектом алгоритма и СОП для работы с задержанными милицейскими участками в связи с COVID-19</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МККК</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Многосекторальные действия по смягчению социальных последствий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МККК предоставил РЦСК финансовую поддержку в размере 10000 швейцарских франков с предоставлением средств индивидуальной защиты стоимостью 2000 швейцарских франков</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ЮНЭЙДС</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 контроль инфекций</w:t>
            </w:r>
          </w:p>
        </w:tc>
        <w:tc>
          <w:tcPr>
            <w:tcW w:type="dxa" w:w="2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эксперта по инфекционному контролю в мониторинге и оценке СК</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bl>
    <w:p>
      <w:pPr>
        <w:spacing w:after="240" w:before="200"/>
        <w:jc w:val="center"/>
      </w:pPr>
      <w:r>
        <w:rPr>
          <w:rFonts w:ascii="Arial" w:cs="Arial" w:eastAsia="Arial" w:hAnsi="Arial"/>
          <w:b/>
          <w:bCs/>
          <w:sz w:val="32"/>
          <w:szCs w:val="32"/>
        </w:rPr>
        <w:t xml:space="preserve">Продовольственная безопасность и логистика</w:t>
      </w:r>
    </w:p>
    <w:p>
      <w:pPr>
        <w:tabs>
          <w:tab w:val="right" w:pos="10178"/>
        </w:tabs>
        <w:spacing w:after="120"/>
      </w:pPr>
      <w:r>
        <w:rPr>
          <w:rFonts w:ascii="Arial" w:cs="Arial" w:eastAsia="Arial" w:hAnsi="Arial"/>
          <w:b/>
          <w:bCs/>
          <w:sz w:val="24"/>
          <w:szCs w:val="24"/>
        </w:rPr>
        <w:t xml:space="preserve">НУЖДАЮЩИЕСЯ</w:t>
      </w:r>
      <w:r>
        <w:rPr>
          <w:rFonts w:ascii="Arial" w:cs="Arial" w:eastAsia="Arial" w:hAnsi="Arial"/>
          <w:sz w:val="24"/>
          <w:szCs w:val="24"/>
        </w:rPr>
        <w:t xml:space="preserve">	</w:t>
      </w:r>
      <w:r>
        <w:rPr>
          <w:rFonts w:ascii="Arial" w:cs="Arial" w:eastAsia="Arial" w:hAnsi="Arial"/>
          <w:b/>
          <w:bCs/>
          <w:sz w:val="24"/>
          <w:szCs w:val="24"/>
        </w:rPr>
        <w:t xml:space="preserve">ПОТРЕБНОСТЬ</w:t>
      </w:r>
    </w:p>
    <w:p>
      <w:pPr>
        <w:tabs>
          <w:tab w:val="right" w:pos="10178"/>
        </w:tabs>
        <w:spacing w:after="120"/>
      </w:pPr>
      <w:r>
        <w:rPr>
          <w:rFonts w:ascii="Arial" w:cs="Arial" w:eastAsia="Arial" w:hAnsi="Arial"/>
          <w:sz w:val="24"/>
          <w:szCs w:val="24"/>
        </w:rPr>
        <w:t xml:space="preserve">Более 100000 семей, получающих ежемесячные пособия от Правительства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долл. США 13,429,000,00</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Количество партнеров: более 10</w:t>
      </w:r>
    </w:p>
    <w:p>
      <w:pPr>
        <w:spacing w:after="120"/>
        <w:jc w:val="both"/>
      </w:pPr>
      <w:r>
        <w:rPr>
          <w:rFonts w:ascii="Arial" w:cs="Arial" w:eastAsia="Arial" w:hAnsi="Arial"/>
          <w:sz w:val="24"/>
          <w:szCs w:val="24"/>
        </w:rPr>
        <w:t xml:space="preserve">План реагирования в секторах продовольственной безопасности и логистики направлен на оказание поддержки Правительству Кыргызской Республики в удовлетворении потребностей пострадавшего населения в продовольственной безопасности, сельском хозяйстве и обеспечении средств к существованию и надлежащего, своевременного и скоординированного реагирования в кризисных ситуациях.</w:t>
      </w:r>
    </w:p>
    <w:p>
      <w:pPr>
        <w:spacing w:after="120"/>
        <w:jc w:val="both"/>
      </w:pPr>
      <w:r>
        <w:rPr>
          <w:rFonts w:ascii="Arial" w:cs="Arial" w:eastAsia="Arial" w:hAnsi="Arial"/>
          <w:sz w:val="24"/>
          <w:szCs w:val="24"/>
        </w:rPr>
        <w:t xml:space="preserve">В Плане реагирования изложены мероприятия по обеспечению готовности, реагированию и восстановлению, которые позволят кластерам/секторам по продовольственной безопасности и логистики удовлетворять потребности в продовольственной безопасности населения, затронутого COVID-19, во всех районах страны. Координационной группой по реагированию на стихийные бедствия проанализированы краткосрочные и долгосрочные последствия этого кризиса и предлагается следующий оперативный план для оказания Правительству Кыргызской Республики поддержки в удовлетворении потребностей населения в продовольственной безопасности, связанных с социально-экономическим воздействием кризиса.</w:t>
      </w:r>
    </w:p>
    <w:p>
      <w:pPr>
        <w:spacing w:after="240" w:before="200"/>
        <w:jc w:val="center"/>
      </w:pPr>
      <w:r>
        <w:rPr>
          <w:rFonts w:ascii="Arial" w:cs="Arial" w:eastAsia="Arial" w:hAnsi="Arial"/>
          <w:b/>
          <w:bCs/>
          <w:sz w:val="32"/>
          <w:szCs w:val="32"/>
        </w:rPr>
        <w:t xml:space="preserve">Факторы, влияющие на ситуацию с продовольственной безопасностью</w:t>
      </w:r>
    </w:p>
    <w:p>
      <w:pPr>
        <w:spacing w:after="120"/>
        <w:jc w:val="both"/>
      </w:pPr>
      <w:r>
        <w:rPr>
          <w:rFonts w:ascii="Arial" w:cs="Arial" w:eastAsia="Arial" w:hAnsi="Arial"/>
          <w:sz w:val="24"/>
          <w:szCs w:val="24"/>
        </w:rPr>
        <w:t xml:space="preserve">Выявлен ряд факторов, которые могут потенциально вызвать колебания рынка и цен, и повлиять на прогнозируемый экономический рост в долгосрочной перспективе. Факторы включают временные меры с немедленным воздействием и каскадным эффектом региональных и глобальных мер, влияющих на бизнес, промышленность и экономику в целом в долгосрочной перспективе.</w:t>
      </w:r>
    </w:p>
    <w:p>
      <w:pPr>
        <w:spacing w:after="120"/>
        <w:jc w:val="both"/>
      </w:pPr>
      <w:r>
        <w:rPr>
          <w:rFonts w:ascii="Arial" w:cs="Arial" w:eastAsia="Arial" w:hAnsi="Arial"/>
          <w:sz w:val="24"/>
          <w:szCs w:val="24"/>
        </w:rPr>
        <w:t xml:space="preserve">Замедление темпов экономического роста в регионе: резкое снижение индексов фондовых рынков в Российской Федерации и в мире, включая цены на нефть, приведет к замедлению экономического роста в ключевых странах-партнерах, таких как Российская Федерация и Республика Казахстан. Кроме того, принудительное закрытие бизнеса может привести к временному сокращению возможностей трудоустройства и денежных переводов. Как это было во время более ранних кризисных ситуаций в 2008 г. или 2014 г., например обесценивание валюты, повышение курсов доллара США/сом, доллара США/рубль и доллар США/тенге может привести к росту цен на импортируемые товары. За март-апрель месяцы 2020 г., указанные валюты обесценились примерно на 20%. Учитывая важность импортируемых товаров в потребительской корзине граждан Кыргызской Республики, это в конечном итоге окажет негативное влияние на реальные доходы как местного населения, так и международных трудовых мигрантов. Снижение покупательной способности на уровне домашних хозяйств: рост безработицы, особенно в неформальном секторе, по оценкам, 26% экономической деятельности остаются неформальными. Нехватка сельскохозяйственных ресурсов и рабочей силы. Нехватка импортных сельскохозяйственных ресурсов может привести к снижению сельскохозяйственного производства осенью и дальнейшим ценовым шокам. Кроме того, нехватка рабочей силы из-за ограничений на передвижение может нарушить производство и переработку продуктов питания во время сельскохозяйственного весеннего сезона, что создает серьезный риск для доходов и средств к существованию фермерских домохозяйств.</w:t>
      </w:r>
    </w:p>
    <w:p>
      <w:pPr>
        <w:spacing w:after="120"/>
        <w:jc w:val="both"/>
      </w:pPr>
      <w:r>
        <w:rPr>
          <w:rFonts w:ascii="Arial" w:cs="Arial" w:eastAsia="Arial" w:hAnsi="Arial"/>
          <w:sz w:val="24"/>
          <w:szCs w:val="24"/>
        </w:rPr>
        <w:t xml:space="preserve">Пограничные ограничения: пограничные ограничения в регионе и закрытие стран могут нарушить цепочку поставок, что приведет к снижению доступности импортируемых продуктов питания, лекарств и других основных непродовольственных товаров, учитывая зависимость страны от импорта, особенно продуктов питания: 90% потребностей страны в пшеничной муке покрыто за счет импорта.</w:t>
      </w:r>
    </w:p>
    <w:p>
      <w:pPr>
        <w:spacing w:after="120"/>
        <w:jc w:val="both"/>
      </w:pPr>
      <w:r>
        <w:rPr>
          <w:rFonts w:ascii="Arial" w:cs="Arial" w:eastAsia="Arial" w:hAnsi="Arial"/>
          <w:sz w:val="24"/>
          <w:szCs w:val="24"/>
        </w:rPr>
        <w:t xml:space="preserve">Замедление в сфере туризма: сокращение туристов может оказать негативное влияние на доходы населения Иссык-Кульской области.</w:t>
      </w:r>
    </w:p>
    <w:p>
      <w:pPr>
        <w:spacing w:after="120"/>
        <w:jc w:val="both"/>
      </w:pPr>
      <w:r>
        <w:rPr>
          <w:rFonts w:ascii="Arial" w:cs="Arial" w:eastAsia="Arial" w:hAnsi="Arial"/>
          <w:sz w:val="24"/>
          <w:szCs w:val="24"/>
        </w:rPr>
        <w:t xml:space="preserve">Торговые ограничения: ограничения и уменьшение экспорта и импорта из-за закрытия границ.</w:t>
      </w:r>
    </w:p>
    <w:p>
      <w:pPr>
        <w:spacing w:after="240" w:before="200"/>
        <w:jc w:val="center"/>
      </w:pPr>
      <w:r>
        <w:rPr>
          <w:rFonts w:ascii="Arial" w:cs="Arial" w:eastAsia="Arial" w:hAnsi="Arial"/>
          <w:b/>
          <w:bCs/>
          <w:sz w:val="32"/>
          <w:szCs w:val="32"/>
        </w:rPr>
        <w:t xml:space="preserve">Возможное влияние на бедность</w:t>
      </w:r>
    </w:p>
    <w:p>
      <w:pPr>
        <w:spacing w:after="120"/>
        <w:jc w:val="both"/>
      </w:pPr>
      <w:r>
        <w:rPr>
          <w:rFonts w:ascii="Arial" w:cs="Arial" w:eastAsia="Arial" w:hAnsi="Arial"/>
          <w:sz w:val="24"/>
          <w:szCs w:val="24"/>
        </w:rPr>
        <w:t xml:space="preserve">Все вышеперечисленные негативные последствия могут повлиять на наиболее бедные и уязвимые слои населения в стране, которые можно разделить на следующие группы. Наиболее уязвимые слои населения, имеющие доход ниже гарантированного минимального и получающие пособия на ребенка, по оценкам - </w:t>
      </w:r>
      <w:r>
        <w:rPr>
          <w:rFonts w:ascii="Arial" w:cs="Arial" w:eastAsia="Arial" w:hAnsi="Arial"/>
          <w:b/>
          <w:bCs/>
          <w:sz w:val="24"/>
          <w:szCs w:val="24"/>
        </w:rPr>
        <w:t xml:space="preserve">500000 человек, 98000 семей.</w:t>
      </w:r>
    </w:p>
    <w:p>
      <w:pPr>
        <w:spacing w:after="120"/>
        <w:jc w:val="both"/>
      </w:pPr>
      <w:r>
        <w:rPr>
          <w:rFonts w:ascii="Arial" w:cs="Arial" w:eastAsia="Arial" w:hAnsi="Arial"/>
          <w:sz w:val="24"/>
          <w:szCs w:val="24"/>
        </w:rPr>
        <w:t xml:space="preserve">Люди, живущие за национальной чертой бедности (на 1,2 доллара США или менее в день) - </w:t>
      </w:r>
      <w:r>
        <w:rPr>
          <w:rFonts w:ascii="Arial" w:cs="Arial" w:eastAsia="Arial" w:hAnsi="Arial"/>
          <w:b/>
          <w:bCs/>
          <w:sz w:val="24"/>
          <w:szCs w:val="24"/>
        </w:rPr>
        <w:t xml:space="preserve">1,5 миллиона человек или 22,4% общей численности населения</w:t>
      </w:r>
      <w:r>
        <w:rPr>
          <w:rFonts w:ascii="Arial" w:cs="Arial" w:eastAsia="Arial" w:hAnsi="Arial"/>
          <w:sz w:val="24"/>
          <w:szCs w:val="24"/>
        </w:rPr>
        <w:t xml:space="preserve">. Городская бедность составляет 20%, сельская бедность 23,7%. Самые высокие показатели бедности в городах Ош (35,5%), Баткен (33,8%), Джалал-Абад (32,2%), Нарын (30,6%). В случае сокращения денежных переводов, больше всего пострадают южные регионы, поскольку уровень бедности без денежных переводов оценивается в 54,6% Баткен, 44,9% Джалал-Абад, 42,1% город Ош, 36,1% Ошская область. Следует отметить, что самые бедные тратят 53% своего бюджета на еду, а самые богатые тратят только 22%, в среднем по стране 30%.</w:t>
      </w:r>
    </w:p>
    <w:p>
      <w:pPr>
        <w:spacing w:after="120"/>
        <w:jc w:val="both"/>
      </w:pPr>
      <w:r>
        <w:rPr>
          <w:rFonts w:ascii="Arial" w:cs="Arial" w:eastAsia="Arial" w:hAnsi="Arial"/>
          <w:b/>
          <w:bCs/>
          <w:sz w:val="24"/>
          <w:szCs w:val="24"/>
        </w:rPr>
        <w:t xml:space="preserve">Еще 8% населения (около 520000 человек)</w:t>
      </w:r>
      <w:r>
        <w:rPr>
          <w:rFonts w:ascii="Arial" w:cs="Arial" w:eastAsia="Arial" w:hAnsi="Arial"/>
          <w:sz w:val="24"/>
          <w:szCs w:val="24"/>
        </w:rPr>
        <w:t xml:space="preserve">, живущих чуть выше черты бедности, уязвимы перед любыми экономическими потрясениями и могут легко оказаться за чертой бедности. Это, вероятно, увеличит уровень бедности до 30,4%. Предыдущие потрясения показали эту тенденцию в стране. </w:t>
      </w:r>
      <w:r>
        <w:rPr>
          <w:rFonts w:ascii="Arial" w:cs="Arial" w:eastAsia="Arial" w:hAnsi="Arial"/>
          <w:b/>
          <w:bCs/>
          <w:sz w:val="24"/>
          <w:szCs w:val="24"/>
        </w:rPr>
        <w:t xml:space="preserve">46% населения</w:t>
      </w:r>
      <w:r>
        <w:rPr>
          <w:rFonts w:ascii="Arial" w:cs="Arial" w:eastAsia="Arial" w:hAnsi="Arial"/>
          <w:sz w:val="24"/>
          <w:szCs w:val="24"/>
        </w:rPr>
        <w:t xml:space="preserve"> - с недостаточным потреблением пищи, т.е. потребляет менее 2100 ккал в день.</w:t>
      </w:r>
    </w:p>
    <w:p>
      <w:pPr>
        <w:spacing w:after="240" w:before="200"/>
        <w:jc w:val="center"/>
      </w:pPr>
      <w:r>
        <w:rPr>
          <w:rFonts w:ascii="Arial" w:cs="Arial" w:eastAsia="Arial" w:hAnsi="Arial"/>
          <w:b/>
          <w:bCs/>
          <w:sz w:val="32"/>
          <w:szCs w:val="32"/>
        </w:rPr>
        <w:t xml:space="preserve">Мероприятия Правительства Кыргызской Республики</w:t>
      </w:r>
    </w:p>
    <w:p>
      <w:pPr>
        <w:spacing w:after="120"/>
        <w:jc w:val="both"/>
      </w:pPr>
      <w:r>
        <w:rPr>
          <w:rFonts w:ascii="Arial" w:cs="Arial" w:eastAsia="Arial" w:hAnsi="Arial"/>
          <w:sz w:val="24"/>
          <w:szCs w:val="24"/>
        </w:rPr>
        <w:t xml:space="preserve">Правительство Кыргызской Республики объявило о ряде запланированных мер по поддержке бедных и уязвимых категорий населения, а также поддержке рынков для стабилизации продовольственной безопасности и питания. Правительство планирует оказать финансовую поддержку (из имеющихся, а также дополнительно привлеченных средств) для закупа около 100000 тонн пшеницы, для помола крупными частными мельницами в целях поддержания наличия муки на всех основных рынках страны. Кроме этого, Правительством Кыргызской Республики планируется определить средства и закупить 40000 тонн пшеницы для пополнения запасов Государственного материального резерва для использования при поддержке уязвимых и беднейших категорий населения в целях улучшения продовольственной безопасности и питания. Также выделено 5000 тонн пшеничной муки для поддержки 500000 малоимущих семей. Дополнительные 5000 тонн муки будет выделено по мере необходимости.</w:t>
      </w:r>
    </w:p>
    <w:p>
      <w:pPr>
        <w:spacing w:after="240" w:before="200"/>
        <w:jc w:val="center"/>
      </w:pPr>
      <w:r>
        <w:rPr>
          <w:rFonts w:ascii="Arial" w:cs="Arial" w:eastAsia="Arial" w:hAnsi="Arial"/>
          <w:b/>
          <w:bCs/>
          <w:sz w:val="32"/>
          <w:szCs w:val="32"/>
        </w:rPr>
        <w:t xml:space="preserve">Задачи сектора</w:t>
      </w:r>
    </w:p>
    <w:p>
      <w:pPr>
        <w:spacing w:after="120"/>
        <w:jc w:val="both"/>
      </w:pPr>
      <w:r>
        <w:rPr>
          <w:rFonts w:ascii="Arial" w:cs="Arial" w:eastAsia="Arial" w:hAnsi="Arial"/>
          <w:sz w:val="24"/>
          <w:szCs w:val="24"/>
        </w:rPr>
        <w:t xml:space="preserve">Поддерживать наиболее уязвимое и бедное население, живущее в условиях крайней нищеты, с помощью продовольственной помощи посредством национальных, международных и двусторонних действий, в том числе, при необходимости, рыночных интервенций.</w:t>
      </w:r>
    </w:p>
    <w:p>
      <w:pPr>
        <w:spacing w:after="120"/>
        <w:jc w:val="both"/>
      </w:pPr>
      <w:r>
        <w:rPr>
          <w:rFonts w:ascii="Arial" w:cs="Arial" w:eastAsia="Arial" w:hAnsi="Arial"/>
          <w:sz w:val="24"/>
          <w:szCs w:val="24"/>
        </w:rPr>
        <w:t xml:space="preserve">Поддерживать население, живущее чуть выше черты бедности, которое в результате кризиса легко может снова оказаться в бедности.</w:t>
      </w:r>
    </w:p>
    <w:p>
      <w:pPr>
        <w:spacing w:after="120"/>
        <w:jc w:val="both"/>
      </w:pPr>
      <w:r>
        <w:rPr>
          <w:rFonts w:ascii="Arial" w:cs="Arial" w:eastAsia="Arial" w:hAnsi="Arial"/>
          <w:sz w:val="24"/>
          <w:szCs w:val="24"/>
        </w:rPr>
        <w:t xml:space="preserve">Поддерживать Правительство Кыргызской Республики и частный сектор с точки зрения цепочки поставок, обеспечивающей функционирование рынка и доступность продуктов питания.</w:t>
      </w:r>
    </w:p>
    <w:p>
      <w:pPr>
        <w:spacing w:after="120"/>
        <w:jc w:val="both"/>
      </w:pPr>
      <w:r>
        <w:rPr>
          <w:rFonts w:ascii="Arial" w:cs="Arial" w:eastAsia="Arial" w:hAnsi="Arial"/>
          <w:sz w:val="24"/>
          <w:szCs w:val="24"/>
        </w:rPr>
        <w:t xml:space="preserve">Поддерживать мелких фермеров в вегетационный период, обеспечивая производство и продуктивность.</w:t>
      </w:r>
    </w:p>
    <w:p>
      <w:pPr>
        <w:spacing w:after="120"/>
        <w:jc w:val="both"/>
      </w:pPr>
      <w:r>
        <w:rPr>
          <w:rFonts w:ascii="Arial" w:cs="Arial" w:eastAsia="Arial" w:hAnsi="Arial"/>
          <w:sz w:val="24"/>
          <w:szCs w:val="24"/>
        </w:rPr>
        <w:t xml:space="preserve">Обеспечивать постоянную поддержку в сборе данных, анализе рынка и цен, социально-экономической ситуации, для лучшего информирования вмешательства государства в ответ на медленный социально-экономический кризис.</w:t>
      </w:r>
    </w:p>
    <w:p>
      <w:pPr>
        <w:spacing w:after="240" w:before="200"/>
        <w:jc w:val="center"/>
      </w:pPr>
      <w:r>
        <w:rPr>
          <w:rFonts w:ascii="Arial" w:cs="Arial" w:eastAsia="Arial" w:hAnsi="Arial"/>
          <w:b/>
          <w:bCs/>
          <w:sz w:val="32"/>
          <w:szCs w:val="32"/>
        </w:rPr>
        <w:t xml:space="preserve">Ожидаемые результаты</w:t>
      </w:r>
    </w:p>
    <w:p>
      <w:pPr>
        <w:spacing w:after="120"/>
        <w:jc w:val="both"/>
      </w:pPr>
      <w:r>
        <w:rPr>
          <w:rFonts w:ascii="Arial" w:cs="Arial" w:eastAsia="Arial" w:hAnsi="Arial"/>
          <w:sz w:val="24"/>
          <w:szCs w:val="24"/>
        </w:rPr>
        <w:t xml:space="preserve">Поддержание и улучшение продовольственной безопасности и питания среди наиболее уязвимых категорий населения.</w:t>
      </w:r>
    </w:p>
    <w:p>
      <w:pPr>
        <w:spacing w:after="120"/>
        <w:jc w:val="both"/>
      </w:pPr>
      <w:r>
        <w:rPr>
          <w:rFonts w:ascii="Arial" w:cs="Arial" w:eastAsia="Arial" w:hAnsi="Arial"/>
          <w:sz w:val="24"/>
          <w:szCs w:val="24"/>
        </w:rPr>
        <w:t xml:space="preserve">Беспрепятственные и устойчивые поставки продуктов питания.</w:t>
      </w:r>
    </w:p>
    <w:p>
      <w:pPr>
        <w:spacing w:after="120"/>
        <w:jc w:val="both"/>
      </w:pPr>
      <w:r>
        <w:rPr>
          <w:rFonts w:ascii="Arial" w:cs="Arial" w:eastAsia="Arial" w:hAnsi="Arial"/>
          <w:sz w:val="24"/>
          <w:szCs w:val="24"/>
        </w:rPr>
        <w:t xml:space="preserve">Достаточное производство и продуктивность сельского хозяйства, в особенности среди мелких производителей.</w:t>
      </w:r>
    </w:p>
    <w:p>
      <w:pPr>
        <w:spacing w:after="240" w:before="200"/>
        <w:jc w:val="center"/>
      </w:pPr>
      <w:r>
        <w:rPr>
          <w:rFonts w:ascii="Arial" w:cs="Arial" w:eastAsia="Arial" w:hAnsi="Arial"/>
          <w:b/>
          <w:bCs/>
          <w:sz w:val="32"/>
          <w:szCs w:val="32"/>
        </w:rPr>
        <w:t xml:space="preserve">Мероприятия сектора и бюджет</w:t>
      </w:r>
    </w:p>
    <w:p>
      <w:pPr>
        <w:spacing w:after="120"/>
        <w:jc w:val="both"/>
      </w:pPr>
      <w:r>
        <w:rPr>
          <w:rFonts w:ascii="Arial" w:cs="Arial" w:eastAsia="Arial" w:hAnsi="Arial"/>
          <w:sz w:val="24"/>
          <w:szCs w:val="24"/>
        </w:rPr>
        <w:t xml:space="preserve">Ниже приведен список действий, которые необходимы для преодоления и смягчения воздействия кризиса в секторах продовольственной безопасности и логистики в тесной координации с другими секторами, где это необходимо. Все выявленные действия требуют надежной координации между различными заинтересованными сторонами для обеспечения согласованности, эффективности и надлежащего использования ресурсов. Особенно важно, чтобы координационные группы, созданные Правительством, поддерживали постоянный диалог с Координационным советом партнеров по развитию Кыргызской Республики (DPCC), Координационной группой по реагированию на бедствия (DRCU) и другими координационными механизмами в рамках одной тематической области. Действия сгруппированы по трем основным направлениям:</w:t>
      </w:r>
    </w:p>
    <w:p>
      <w:pPr>
        <w:spacing w:after="240" w:before="200"/>
        <w:jc w:val="center"/>
      </w:pPr>
      <w:r>
        <w:rPr>
          <w:rFonts w:ascii="Arial" w:cs="Arial" w:eastAsia="Arial" w:hAnsi="Arial"/>
          <w:b/>
          <w:bCs/>
          <w:sz w:val="32"/>
          <w:szCs w:val="32"/>
        </w:rPr>
        <w:t xml:space="preserve">1) Анализ продовольственной безопасности, включая доступность, рыночные цены, доступ, национальный и местный уровни.</w:t>
      </w:r>
    </w:p>
    <w:p>
      <w:pPr>
        <w:spacing w:after="120"/>
        <w:jc w:val="both"/>
      </w:pPr>
      <w:r>
        <w:rPr>
          <w:rFonts w:ascii="Arial" w:cs="Arial" w:eastAsia="Arial" w:hAnsi="Arial"/>
          <w:sz w:val="24"/>
          <w:szCs w:val="24"/>
        </w:rPr>
        <w:t xml:space="preserve">Провести анализ для определения доли населения, которая может пострадать в результате социально-экономического воздействия кризиса в краткосрочной перспективе с точки зрения продовольственной безопасности и питания.</w:t>
      </w:r>
    </w:p>
    <w:p>
      <w:pPr>
        <w:spacing w:after="120"/>
        <w:jc w:val="both"/>
      </w:pPr>
      <w:r>
        <w:rPr>
          <w:rFonts w:ascii="Arial" w:cs="Arial" w:eastAsia="Arial" w:hAnsi="Arial"/>
          <w:sz w:val="24"/>
          <w:szCs w:val="24"/>
        </w:rPr>
        <w:t xml:space="preserve">Мониторинг региональных рынков и цен и принятие мер стимулирования в случае повышения цен на продукты питания в странах происхождения (Российской Федерации, Республики Казахстан), таких как налоговые льготы или другие формы фискальной/финансовой поддержки частного сектора, чтобы довести цены на продукты питания до цен в докризисной ситуации.</w:t>
      </w:r>
    </w:p>
    <w:p>
      <w:pPr>
        <w:spacing w:after="240" w:before="200"/>
        <w:jc w:val="center"/>
      </w:pPr>
      <w:r>
        <w:rPr>
          <w:rFonts w:ascii="Arial" w:cs="Arial" w:eastAsia="Arial" w:hAnsi="Arial"/>
          <w:b/>
          <w:bCs/>
          <w:sz w:val="32"/>
          <w:szCs w:val="32"/>
        </w:rPr>
        <w:t xml:space="preserve">2) Вмешательства, предложенные для обеспечения стабилизации рынка и предотвращения спекуляций.</w:t>
      </w:r>
    </w:p>
    <w:p>
      <w:pPr>
        <w:spacing w:after="120"/>
        <w:jc w:val="both"/>
      </w:pPr>
      <w:r>
        <w:rPr>
          <w:rFonts w:ascii="Arial" w:cs="Arial" w:eastAsia="Arial" w:hAnsi="Arial"/>
          <w:sz w:val="24"/>
          <w:szCs w:val="24"/>
        </w:rPr>
        <w:t xml:space="preserve">Оценка и мониторинг для выявления трудностей при импорте продуктов питания из-за рубежа. Принять необходимые меры, в том числе незамедлительные меры регулирования со странами-экспортерами для стабилизации импорта.</w:t>
      </w:r>
    </w:p>
    <w:p>
      <w:pPr>
        <w:spacing w:after="120"/>
        <w:jc w:val="both"/>
      </w:pPr>
      <w:r>
        <w:rPr>
          <w:rFonts w:ascii="Arial" w:cs="Arial" w:eastAsia="Arial" w:hAnsi="Arial"/>
          <w:sz w:val="24"/>
          <w:szCs w:val="24"/>
        </w:rPr>
        <w:t xml:space="preserve">Срочная оценка ситуации с крупными заводами, импортерами, трейдерами в стране и соседних странах для выявления их узких мест и проблем, с которыми сталкиваются при импорте продовольственных товаров. Разработка необходимых мер для беспрепятственного и своевременного ввоза продовольственных товаров.</w:t>
      </w:r>
    </w:p>
    <w:p>
      <w:pPr>
        <w:spacing w:after="120"/>
        <w:jc w:val="both"/>
      </w:pPr>
      <w:r>
        <w:rPr>
          <w:rFonts w:ascii="Arial" w:cs="Arial" w:eastAsia="Arial" w:hAnsi="Arial"/>
          <w:sz w:val="24"/>
          <w:szCs w:val="24"/>
        </w:rPr>
        <w:t xml:space="preserve">Анализировать и планировать потенциальные рыночные интервенции с помощью резервов для обеспечения доступности продуктов питания на рынках и регулирования цен (тщательно разработанные, чтобы избежать дополнительного давления на импортеров с целью получения убытков).</w:t>
      </w:r>
    </w:p>
    <w:p>
      <w:pPr>
        <w:spacing w:after="120"/>
        <w:jc w:val="both"/>
      </w:pPr>
      <w:r>
        <w:rPr>
          <w:rFonts w:ascii="Arial" w:cs="Arial" w:eastAsia="Arial" w:hAnsi="Arial"/>
          <w:sz w:val="24"/>
          <w:szCs w:val="24"/>
        </w:rPr>
        <w:t xml:space="preserve">Оценить потенциал на уровне государства, включая резервы, методы реагирования, включая рыночные интервенции, и, при необходимости, планировать открытие государственных магазинов с основными продуктами питания (в частности, пшеничной мукой) с фиксированной ценой для стабилизации функциональности рынка (наличие в регионах/районах, рынки) и доступ (доступная цена).</w:t>
      </w:r>
    </w:p>
    <w:p>
      <w:pPr>
        <w:spacing w:after="120"/>
        <w:jc w:val="both"/>
      </w:pPr>
      <w:r>
        <w:rPr>
          <w:rFonts w:ascii="Arial" w:cs="Arial" w:eastAsia="Arial" w:hAnsi="Arial"/>
          <w:sz w:val="24"/>
          <w:szCs w:val="24"/>
        </w:rPr>
        <w:t xml:space="preserve">Немедленно наладить диалог со всеми крупными трейдерами, предприятиями, импортерами и оптовиками о ведении докризисных операций, обеспечивающих стабильность рынка.</w:t>
      </w:r>
    </w:p>
    <w:p>
      <w:pPr>
        <w:spacing w:after="120"/>
        <w:jc w:val="both"/>
      </w:pPr>
      <w:r>
        <w:rPr>
          <w:rFonts w:ascii="Arial" w:cs="Arial" w:eastAsia="Arial" w:hAnsi="Arial"/>
          <w:sz w:val="24"/>
          <w:szCs w:val="24"/>
        </w:rPr>
        <w:t xml:space="preserve">Усиление мер мониторинга рынка, чтобы избежать спекуляций; продолжить мониторинг и анализ цен.</w:t>
      </w:r>
    </w:p>
    <w:p>
      <w:pPr>
        <w:spacing w:after="120"/>
        <w:jc w:val="both"/>
      </w:pPr>
      <w:r>
        <w:rPr>
          <w:rFonts w:ascii="Arial" w:cs="Arial" w:eastAsia="Arial" w:hAnsi="Arial"/>
          <w:sz w:val="24"/>
          <w:szCs w:val="24"/>
        </w:rPr>
        <w:t xml:space="preserve">Разработать и организовать проведение кампаний по повышению информированности широкой общественности, в целях избежания паники, связанной со спекуляциями, связанными с нехваткой продовольствия, функционированием рынка.</w:t>
      </w:r>
    </w:p>
    <w:p>
      <w:pPr>
        <w:spacing w:after="120"/>
        <w:jc w:val="both"/>
      </w:pPr>
      <w:r>
        <w:rPr>
          <w:rFonts w:ascii="Arial" w:cs="Arial" w:eastAsia="Arial" w:hAnsi="Arial"/>
          <w:b/>
          <w:bCs/>
          <w:sz w:val="24"/>
          <w:szCs w:val="24"/>
        </w:rPr>
        <w:t xml:space="preserve">3) Мероприятия для поддержки населения, особенно наиболее уязвимого, для обеспечения продовольственной безопасности посредством передачи продовольствия, а также для поддержки сохранения сельскохозяйственного сезона.</w:t>
      </w:r>
    </w:p>
    <w:p>
      <w:pPr>
        <w:spacing w:after="120"/>
        <w:jc w:val="both"/>
      </w:pPr>
      <w:r>
        <w:rPr>
          <w:rFonts w:ascii="Arial" w:cs="Arial" w:eastAsia="Arial" w:hAnsi="Arial"/>
          <w:sz w:val="24"/>
          <w:szCs w:val="24"/>
        </w:rPr>
        <w:t xml:space="preserve">Разработать и осуществить необходимые меры, по недопущению и преодолению негативного воздействия на продовольственную безопасность и питание, в том числе оказание продовольственной помощи уязвимым и малоимущим семьям.</w:t>
      </w:r>
    </w:p>
    <w:p>
      <w:pPr>
        <w:spacing w:after="120"/>
        <w:jc w:val="both"/>
      </w:pPr>
      <w:r>
        <w:rPr>
          <w:rFonts w:ascii="Arial" w:cs="Arial" w:eastAsia="Arial" w:hAnsi="Arial"/>
          <w:sz w:val="24"/>
          <w:szCs w:val="24"/>
        </w:rPr>
        <w:t xml:space="preserve">Оценить текущее состояние сельскохозяйственного сезона, в том числе наличие ресурсов (семена, удобрения, топливо и доступ к знаниям) и наличие рабочей силы для сохранения сельскохозяйственного сезона 2020 года во избежание потери производительности и производства.</w:t>
      </w:r>
    </w:p>
    <w:p>
      <w:pPr>
        <w:spacing w:after="120"/>
        <w:jc w:val="both"/>
      </w:pPr>
      <w:r>
        <w:rPr>
          <w:rFonts w:ascii="Arial" w:cs="Arial" w:eastAsia="Arial" w:hAnsi="Arial"/>
          <w:sz w:val="24"/>
          <w:szCs w:val="24"/>
        </w:rPr>
        <w:t xml:space="preserve">Взаимодействовать с частным сектором для скоординированного реагирования на пострадавшее население и регионы.</w:t>
      </w:r>
    </w:p>
    <w:p>
      <w:pPr>
        <w:spacing w:after="120"/>
        <w:jc w:val="both"/>
      </w:pPr>
      <w:r>
        <w:rPr>
          <w:rFonts w:ascii="Arial" w:cs="Arial" w:eastAsia="Arial" w:hAnsi="Arial"/>
          <w:b/>
          <w:bCs/>
          <w:sz w:val="24"/>
          <w:szCs w:val="24"/>
        </w:rPr>
        <w:t xml:space="preserve">Предложения международных партнеров к Плану действий Министерства сельского хозяйства, пищевой промышленности и мелиорации Кыргызской Республики по обеспечению продовольственной безопасности и питанием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1516"/>
        <w:gridCol w:w="1286"/>
        <w:gridCol w:w="989"/>
        <w:gridCol w:w="1347"/>
        <w:gridCol w:w="1618"/>
        <w:gridCol w:w="969"/>
        <w:gridCol w:w="1091"/>
        <w:gridCol w:w="1056"/>
      </w:tblGrid>
      <w:tr>
        <w:tc>
          <w:tcPr>
            <w:tcW w:type="dxa" w:w="3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Мероприятие</w:t>
            </w:r>
          </w:p>
        </w:tc>
        <w:tc>
          <w:tcPr>
            <w:tcW w:type="dxa" w:w="12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c>
          <w:tcPr>
            <w:tcW w:type="dxa" w:w="9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реализации</w:t>
            </w:r>
          </w:p>
        </w:tc>
        <w:tc>
          <w:tcPr>
            <w:tcW w:type="dxa" w:w="13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Финансовая оценка мероприятия в долл. США</w:t>
            </w:r>
          </w:p>
        </w:tc>
        <w:tc>
          <w:tcPr>
            <w:tcW w:type="dxa" w:w="16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 реализации</w:t>
            </w:r>
          </w:p>
        </w:tc>
        <w:tc>
          <w:tcPr>
            <w:tcW w:type="dxa" w:w="9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Потребность в долл. США</w:t>
            </w:r>
          </w:p>
        </w:tc>
        <w:tc>
          <w:tcPr>
            <w:tcW w:type="dxa" w:w="10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Мобилизовано в долл. США</w:t>
            </w:r>
          </w:p>
        </w:tc>
        <w:tc>
          <w:tcPr>
            <w:tcW w:type="dxa" w:w="10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мобилизовать в долл. США</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социально-экономического анализа и микромоделирования, для определения глубины воздействия кризиса на уязвимых и бедных. Оценка текущего состояния сельскохозяйственного сезона, в том числе наличия ресурсов (семена, удобрения, доступ к знаниям/материалам и тренингам, топливо) и наличие рабочей силы для сохранения сельскохозяйственного сезона 2020 года, в целях недопущения потерь продуктивности и производства</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МТСР совместно с ВПП, ФАО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p>
            <w:pPr>
              <w:jc w:val="left"/>
            </w:pPr>
            <w:r>
              <w:rPr>
                <w:rFonts w:ascii="Arial" w:cs="Arial" w:eastAsia="Arial" w:hAnsi="Arial"/>
                <w:sz w:val="24"/>
                <w:szCs w:val="24"/>
              </w:rPr>
              <w:t xml:space="preserve">Финансирование ВПП</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Еженедельный вестник</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регулярного мониторинга цен на продовольственные товары</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 МСХППМ, НСК (по согласованию) совместно с ВПП, ФАО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Еженедельно</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p>
            <w:pPr>
              <w:jc w:val="left"/>
            </w:pPr>
            <w:r>
              <w:rPr>
                <w:rFonts w:ascii="Arial" w:cs="Arial" w:eastAsia="Arial" w:hAnsi="Arial"/>
                <w:sz w:val="24"/>
                <w:szCs w:val="24"/>
              </w:rPr>
              <w:t xml:space="preserve">Финансирование ВПП и ФАО</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бюллетеня</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быстрой оценки цепочки поставок продовольствия по всей стране, для определения основных проблем (импорт продовольствия, наличие продовольствия на основных рынках, розничные и оптовые цены)</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совместно с ВПП, ФАО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двух недель</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долл. США</w:t>
            </w:r>
          </w:p>
          <w:p>
            <w:pPr>
              <w:jc w:val="left"/>
            </w:pPr>
            <w:r>
              <w:rPr>
                <w:rFonts w:ascii="Arial" w:cs="Arial" w:eastAsia="Arial" w:hAnsi="Arial"/>
                <w:sz w:val="24"/>
                <w:szCs w:val="24"/>
              </w:rPr>
              <w:t xml:space="preserve">Финансирование ВПП и ФАО</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Краткий обзор</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Ускорение исполнения совместных мероприятий МТСР и ВПП по оказанию продовольственной помощи для поддержки социально-уязвимых слоев населения через их участие в общественно-значимых работах (ремонт инфраструктуры, обучение) и раздачу продовольственной помощи</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ВПП (по согласованию), ОМСУ (по согласованию), МЧС</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ВПП в сумме 2 млн. долл. США перенаправлены в рамках текущей деятельности по социальной защите</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ВПП предоставит 2000 тонн продовольствия уязвимым группам населения в рамках реализации текущей программы</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дальнейшей продовольственной помощи в сотрудничестве с МТСР людям, живущим в условиях крайней бедности (около 500000 человек)</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МСХППМ совместно с ВПП, ОМСУ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Дефицит финансирования - 8,4 млн. долл. США.</w:t>
            </w:r>
          </w:p>
          <w:p>
            <w:pPr>
              <w:jc w:val="left"/>
            </w:pPr>
            <w:r>
              <w:rPr>
                <w:rFonts w:ascii="Arial" w:cs="Arial" w:eastAsia="Arial" w:hAnsi="Arial"/>
                <w:sz w:val="24"/>
                <w:szCs w:val="24"/>
              </w:rPr>
              <w:t xml:space="preserve">Для частичного покрытия дефицита, ВПП будет перенаправлять 1 млн. долл. США из текущей деятельности на продовольственную поддержку</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Дальнейшее оказание продовольственной помощи в течение 2 месяцев, 500000 человек, живущим в условиях крайней бедности, которые могут еще больше пострадать от кризиса. Этот прогноз предоставит помощь населению, живущему в условиях крайней бедности</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8,400,000,00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содействие в области политики, доступа к знаниям и опыту, лучшим практикам в решении проблем продовольственной безопасности, с особым акцентом на вмешательства как на уровне политики, так и на местах, чтобы обеспечить охват наиболее уязвимых слоев</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ФАО (по согласованию), МСХППМ, ГАООСЛХ</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2020-2021 годы</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360,000,00</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содействие в посткризисный период (обеспечение сельскохозяйственными ресурсами [семенами, удобрениями], внедрение лучших практик и технологий, а также проведение тренингов и консультаций)</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рисками: разработка, распространение и внедрение соответствующих рекомендаций по кормлению детей грудного и раннего возраста в контексте COVID-19</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ЮНИСЕФ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Дефицит финансирования - 50,000,00</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бюллетень</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Операционная поддержка существующих услуг по питанию, включая необходимые закупки для детей и беременных женщин</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ЮНИСЕФ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2020 года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Дефицит финансирования 530,000,00</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поставки по питанию (железо и фолиевая кислота для беременных женщин, микронутриентный порошок для детей 6-24 месяцев)</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530,000,00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1000 гуманитарного продовольствия в 900 школ, одобренных МОН для организации горячих обедов для школьников младших классов</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Mercy Corps при финансировании Мин. Сел. Хоз. США; ВПП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Около $ 1075000 - фонды Mercy Corps;</w:t>
            </w:r>
          </w:p>
          <w:p>
            <w:pPr>
              <w:jc w:val="left"/>
            </w:pPr>
            <w:r>
              <w:rPr>
                <w:rFonts w:ascii="Arial" w:cs="Arial" w:eastAsia="Arial" w:hAnsi="Arial"/>
                <w:sz w:val="24"/>
                <w:szCs w:val="24"/>
              </w:rPr>
              <w:t xml:space="preserve">300,000,00 - фонды ВПП</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 тонн гуманитарного продовольствия доставлены в школы, планируется поставка 300 тонн продовольствия</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1,375,000,00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1,375,000,00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в проведении посадок озимой пшеницы на богарных землях, улучшении семенного фонда, возделывание почвы, ресурсов и т.д.: урожай в июне, по оценкам, 3 тонны/га, посеяно 232 га будет больше в течение следующих лет</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Германское общество по международному сотрудничеству/ЕК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Это долгосрочный вклад в структурное развитие, реализация началась осенью 2019 г. и продлится до осени 2022 г.</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определено</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GIZ заключает контракт с НПО, у которых есть грантовое соглашение с четкими целями на время реализации</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третьего конкурса предложений включения бедных домохозяйств в экономическую деятельность в целях увеличения их доходов</w:t>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Германское общество по международному сотрудничеству/ЕК (по согласованию)</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III-IV кварталы 2020 года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около 600,000,00 евро</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GIZ будет заключать контракты с НПО/ОГО, возможно с меньшей формой грантовых соглашений</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654,000,00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61"/>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13,429,000,00</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4,449,000,00</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8,980,000,00</w:t>
            </w:r>
          </w:p>
        </w:tc>
      </w:tr>
      <w:tr>
        <w:tc>
          <w:tcPr>
            <w:tcW w:type="dxa" w:w="3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872"/>
            <w:gridSpan w:val="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Вода, санитария и гигиена</w:t>
      </w:r>
    </w:p>
    <w:p>
      <w:pPr>
        <w:tabs>
          <w:tab w:val="right" w:pos="10178"/>
        </w:tabs>
        <w:spacing w:after="120"/>
      </w:pPr>
      <w:r>
        <w:rPr>
          <w:rFonts w:ascii="Arial" w:cs="Arial" w:eastAsia="Arial" w:hAnsi="Arial"/>
          <w:sz w:val="24"/>
          <w:szCs w:val="24"/>
        </w:rPr>
        <w:t xml:space="preserve">НУЖДАЮЩИЕСЯ</w:t>
      </w:r>
      <w:r>
        <w:rPr>
          <w:rFonts w:ascii="Arial" w:cs="Arial" w:eastAsia="Arial" w:hAnsi="Arial"/>
          <w:sz w:val="24"/>
          <w:szCs w:val="24"/>
        </w:rPr>
        <w:t xml:space="preserve">	</w:t>
      </w:r>
      <w:r>
        <w:rPr>
          <w:rFonts w:ascii="Arial" w:cs="Arial" w:eastAsia="Arial" w:hAnsi="Arial"/>
          <w:sz w:val="24"/>
          <w:szCs w:val="24"/>
        </w:rPr>
        <w:t xml:space="preserve">ПОТРЕБНОСТИ</w:t>
      </w:r>
    </w:p>
    <w:p>
      <w:pPr>
        <w:tabs>
          <w:tab w:val="right" w:pos="10178"/>
        </w:tabs>
        <w:spacing w:after="120"/>
      </w:pPr>
      <w:r>
        <w:rPr>
          <w:rFonts w:ascii="Arial" w:cs="Arial" w:eastAsia="Arial" w:hAnsi="Arial"/>
          <w:sz w:val="24"/>
          <w:szCs w:val="24"/>
        </w:rPr>
        <w:t xml:space="preserve">500000</w:t>
      </w:r>
      <w:r>
        <w:rPr>
          <w:rFonts w:ascii="Arial" w:cs="Arial" w:eastAsia="Arial" w:hAnsi="Arial"/>
          <w:sz w:val="24"/>
          <w:szCs w:val="24"/>
        </w:rPr>
        <w:t xml:space="preserve">	</w:t>
      </w:r>
      <w:r>
        <w:rPr>
          <w:rFonts w:ascii="Arial" w:cs="Arial" w:eastAsia="Arial" w:hAnsi="Arial"/>
          <w:sz w:val="24"/>
          <w:szCs w:val="24"/>
        </w:rPr>
        <w:t xml:space="preserve">(долл. США) 1,400,000,00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Участники сектора и другие партнеры:</w:t>
      </w:r>
    </w:p>
    <w:p>
      <w:pPr>
        <w:spacing w:after="120"/>
        <w:jc w:val="both"/>
      </w:pPr>
      <w:r>
        <w:rPr>
          <w:rFonts w:ascii="Arial" w:cs="Arial" w:eastAsia="Arial" w:hAnsi="Arial"/>
          <w:sz w:val="24"/>
          <w:szCs w:val="24"/>
        </w:rPr>
        <w:t xml:space="preserve">Helvetas, Всемирный банк, Mercy Corps, Организация Ага Хана по развитию в Кыргызской Республике, МЧС</w:t>
      </w:r>
    </w:p>
    <w:p>
      <w:pPr>
        <w:spacing w:after="240" w:before="200"/>
        <w:jc w:val="center"/>
      </w:pPr>
      <w:r>
        <w:rPr>
          <w:rFonts w:ascii="Arial" w:cs="Arial" w:eastAsia="Arial" w:hAnsi="Arial"/>
          <w:b/>
          <w:bCs/>
          <w:sz w:val="32"/>
          <w:szCs w:val="32"/>
        </w:rPr>
        <w:t xml:space="preserve">Ситуация в секторе</w:t>
      </w:r>
    </w:p>
    <w:p>
      <w:pPr>
        <w:spacing w:after="120"/>
        <w:jc w:val="both"/>
      </w:pPr>
      <w:r>
        <w:rPr>
          <w:rFonts w:ascii="Arial" w:cs="Arial" w:eastAsia="Arial" w:hAnsi="Arial"/>
          <w:sz w:val="24"/>
          <w:szCs w:val="24"/>
        </w:rPr>
        <w:t xml:space="preserve">Стратегия реагирования секторов "Вода, санитария и гигиена" (далее - ВСГ) и "Укрытие" по COVID-19 будет сосредоточена на пострадавших регионах Кыргызской Республики в качестве меры немедленного реагирования. Меры по ВСГ основаны на запланированном реагировании на несколько "кластеров" (затронутых регионов) со случаями COVID-19, но могут быть легко расширены для включения национального реагирования. Предполагаемый период времени, охватываемый мероприятиями и бюджетом, детализирован ниже, с учетом соответствующего периода восстановления до конца 2020 года. Основная цель сектора ВСГ заключается в сдерживании и управлении распространением болезни COVID-19 и снижении заболеваемости и смертности в целевом кластере и в остальной части страны.</w:t>
      </w:r>
    </w:p>
    <w:p>
      <w:pPr>
        <w:spacing w:after="240" w:before="200"/>
        <w:jc w:val="center"/>
      </w:pPr>
      <w:r>
        <w:rPr>
          <w:rFonts w:ascii="Arial" w:cs="Arial" w:eastAsia="Arial" w:hAnsi="Arial"/>
          <w:b/>
          <w:bCs/>
          <w:sz w:val="32"/>
          <w:szCs w:val="32"/>
        </w:rPr>
        <w:t xml:space="preserve">Задачи сектора</w:t>
      </w:r>
    </w:p>
    <w:p>
      <w:pPr>
        <w:spacing w:after="120"/>
        <w:jc w:val="both"/>
      </w:pPr>
      <w:r>
        <w:rPr>
          <w:rFonts w:ascii="Arial" w:cs="Arial" w:eastAsia="Arial" w:hAnsi="Arial"/>
          <w:sz w:val="24"/>
          <w:szCs w:val="24"/>
        </w:rPr>
        <w:t xml:space="preserve">Обеспечение согласованного и эффективного реагирования на предотвращение и управление COVID-19 посредством поддержки правительственных учреждений. Поддержка будет скоординирована с международными организациями, агентствами ООН, программами, фондами и негосударственными организациями для реагирования стратегическим путем, который сводит к минимуму пробелы, повышает предсказуемость и укрепляет потенциал гуманитарных организаций во всех ключевых областях деятельности во время чрезвычайной ситуации.</w:t>
      </w:r>
    </w:p>
    <w:p>
      <w:pPr>
        <w:spacing w:after="240" w:before="200"/>
        <w:jc w:val="center"/>
      </w:pPr>
      <w:r>
        <w:rPr>
          <w:rFonts w:ascii="Arial" w:cs="Arial" w:eastAsia="Arial" w:hAnsi="Arial"/>
          <w:b/>
          <w:bCs/>
          <w:sz w:val="32"/>
          <w:szCs w:val="32"/>
        </w:rPr>
        <w:t xml:space="preserve">Ожидаемые результаты</w:t>
      </w:r>
    </w:p>
    <w:p>
      <w:pPr>
        <w:spacing w:after="120"/>
        <w:jc w:val="both"/>
      </w:pPr>
      <w:r>
        <w:rPr>
          <w:rFonts w:ascii="Arial" w:cs="Arial" w:eastAsia="Arial" w:hAnsi="Arial"/>
          <w:sz w:val="24"/>
          <w:szCs w:val="24"/>
        </w:rPr>
        <w:t xml:space="preserve">Распространение COVID-19 снижается благодаря эффективной деятельности по ВСГ, осуществляемой на национальном и местном уровнях с акцентом на следующие результаты.</w:t>
      </w:r>
    </w:p>
    <w:p>
      <w:pPr>
        <w:spacing w:after="120"/>
        <w:jc w:val="both"/>
      </w:pPr>
      <w:r>
        <w:rPr>
          <w:rFonts w:ascii="Arial" w:cs="Arial" w:eastAsia="Arial" w:hAnsi="Arial"/>
          <w:sz w:val="24"/>
          <w:szCs w:val="24"/>
        </w:rPr>
        <w:t xml:space="preserve">Поставка дезинфицирующих средств Министерству чрезвычайных ситуаций Кыргызской Республики для дезинфекции общественных учреждений и помещений, включая школы, учреждения по уходу, муниципальные учреждения и пункты наблюдения.</w:t>
      </w:r>
    </w:p>
    <w:p>
      <w:pPr>
        <w:spacing w:after="120"/>
        <w:jc w:val="both"/>
      </w:pPr>
      <w:r>
        <w:rPr>
          <w:rFonts w:ascii="Arial" w:cs="Arial" w:eastAsia="Arial" w:hAnsi="Arial"/>
          <w:sz w:val="24"/>
          <w:szCs w:val="24"/>
        </w:rPr>
        <w:t xml:space="preserve">Обучение сотрудников Министерства чрезвычайных ситуаций Кыргызской Республики и органов местного самоуправления по дезинфекции общественных мест в целях борьбы с распространением инфекции на муниципальном уровне.</w:t>
      </w:r>
    </w:p>
    <w:p>
      <w:pPr>
        <w:spacing w:after="120"/>
        <w:jc w:val="both"/>
      </w:pPr>
      <w:r>
        <w:rPr>
          <w:rFonts w:ascii="Arial" w:cs="Arial" w:eastAsia="Arial" w:hAnsi="Arial"/>
          <w:sz w:val="24"/>
          <w:szCs w:val="24"/>
        </w:rPr>
        <w:t xml:space="preserve">Охватить 500000 человек в зонах повышенного риска с помощью эффективного вмешательства и информирования по ВСГ.</w:t>
      </w:r>
    </w:p>
    <w:p>
      <w:pPr>
        <w:spacing w:after="120"/>
        <w:jc w:val="both"/>
      </w:pPr>
      <w:r>
        <w:rPr>
          <w:rFonts w:ascii="Arial" w:cs="Arial" w:eastAsia="Arial" w:hAnsi="Arial"/>
          <w:sz w:val="24"/>
          <w:szCs w:val="24"/>
        </w:rPr>
        <w:t xml:space="preserve">Оказание поддержки пострадавшим ОМСУ в разработке стандартов обращения с отходами во время COVID-19.</w:t>
      </w:r>
    </w:p>
    <w:p>
      <w:pPr>
        <w:spacing w:after="120"/>
        <w:jc w:val="both"/>
      </w:pPr>
      <w:r>
        <w:rPr>
          <w:rFonts w:ascii="Arial" w:cs="Arial" w:eastAsia="Arial" w:hAnsi="Arial"/>
          <w:sz w:val="24"/>
          <w:szCs w:val="24"/>
        </w:rPr>
        <w:t xml:space="preserve">Целевые домашние хозяйства охвачены наборами по ВСГ и информированы.</w:t>
      </w:r>
    </w:p>
    <w:p>
      <w:pPr>
        <w:spacing w:after="120"/>
        <w:jc w:val="both"/>
      </w:pPr>
      <w:r>
        <w:rPr>
          <w:rFonts w:ascii="Arial" w:cs="Arial" w:eastAsia="Arial" w:hAnsi="Arial"/>
          <w:sz w:val="24"/>
          <w:szCs w:val="24"/>
        </w:rPr>
        <w:t xml:space="preserve">Обеспечение материально-техническими средствами МЧС для проведения дезинфицирующих мероприятий.</w:t>
      </w:r>
    </w:p>
    <w:p>
      <w:pPr>
        <w:spacing w:after="240" w:before="200"/>
        <w:jc w:val="center"/>
      </w:pPr>
      <w:r>
        <w:rPr>
          <w:rFonts w:ascii="Arial" w:cs="Arial" w:eastAsia="Arial" w:hAnsi="Arial"/>
          <w:b/>
          <w:bCs/>
          <w:sz w:val="32"/>
          <w:szCs w:val="32"/>
        </w:rPr>
        <w:t xml:space="preserve">Мероприятия сектора и бюджет</w:t>
      </w:r>
    </w:p>
    <w:p>
      <w:pPr>
        <w:spacing w:after="120"/>
        <w:jc w:val="both"/>
      </w:pPr>
      <w:r>
        <w:rPr>
          <w:rFonts w:ascii="Arial" w:cs="Arial" w:eastAsia="Arial" w:hAnsi="Arial"/>
          <w:sz w:val="24"/>
          <w:szCs w:val="24"/>
        </w:rPr>
        <w:t xml:space="preserve">Общий бюджет, необходимый для ответа ВСГ на COVID-19 в Кыргызстане, составляет около 1400000 долларов США за весь год. Оценка бюджета является приблизительной и может меняться в течение года из-за нестабильности цен на рынках. Дефицит финансирования оценивается в 1,333,000,00 долл. США.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5"/>
        <w:gridCol w:w="629"/>
        <w:gridCol w:w="839"/>
        <w:gridCol w:w="827"/>
        <w:gridCol w:w="755"/>
        <w:gridCol w:w="1244"/>
        <w:gridCol w:w="849"/>
        <w:gridCol w:w="1472"/>
        <w:gridCol w:w="1378"/>
      </w:tblGrid>
      <w:tr>
        <w:tc>
          <w:tcPr>
            <w:tcW w:type="dxa" w:w="21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Ключевые компоненты (реализованные и/или запланированные)</w:t>
            </w:r>
          </w:p>
        </w:tc>
        <w:tc>
          <w:tcPr>
            <w:tcW w:type="dxa" w:w="6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Июнь-июль</w:t>
            </w:r>
          </w:p>
        </w:tc>
        <w:tc>
          <w:tcPr>
            <w:tcW w:type="dxa" w:w="8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Август-сентябрь</w:t>
            </w:r>
          </w:p>
        </w:tc>
        <w:tc>
          <w:tcPr>
            <w:tcW w:type="dxa" w:w="8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Октябрь-ноябрь</w:t>
            </w:r>
          </w:p>
        </w:tc>
        <w:tc>
          <w:tcPr>
            <w:tcW w:type="dxa" w:w="7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12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Необходимый бюджет (долл. США)</w:t>
            </w:r>
          </w:p>
        </w:tc>
        <w:tc>
          <w:tcPr>
            <w:tcW w:type="dxa" w:w="8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Доступно ($ США)</w:t>
            </w:r>
          </w:p>
        </w:tc>
        <w:tc>
          <w:tcPr>
            <w:tcW w:type="dxa" w:w="14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Недостаток финансирования (долл. США)</w:t>
            </w:r>
          </w:p>
        </w:tc>
        <w:tc>
          <w:tcPr>
            <w:tcW w:type="dxa" w:w="13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Агентство</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о рисках и участие сообщества.</w:t>
            </w:r>
          </w:p>
          <w:p>
            <w:pPr>
              <w:jc w:val="left"/>
            </w:pPr>
            <w:r>
              <w:rPr>
                <w:rFonts w:ascii="Arial" w:cs="Arial" w:eastAsia="Arial" w:hAnsi="Arial"/>
                <w:sz w:val="24"/>
                <w:szCs w:val="24"/>
              </w:rPr>
              <w:t xml:space="preserve">Продвижение гигиены в пострадавших районах</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Фаза 1: Поддержка условий/центров для людей в обсервационных центрах (предметы гигиены и домашнего обихода) - 70 обсервационных центров</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32,000,00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НОКП</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Поддержка локальных систем по быстрому сдерживанию локализованных вспышек путем предоставления необходимых материалов и ухода для лиц, отвечающих за оказание первой помощи/МЧС/МТСР</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 определяется</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Поддержка наиболее уязвимых (предметы гигиены, непродовольственные товары) - не менее 5000 домохозяйств (25000 человек). Количество человек будет дополнено после оценки потребностей</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 определяется</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Фаза 2: Поддержка дезинфекции объектов/центров для людей в обсервации (предметы гигиены и непродовольственные товары) - 140 центров</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 определяется</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Поддержка по ВСГ для школ (для облегчения открытия заново) и других государственных учреждений</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ОМСУ в быстром сдерживании локализованных вспышек путем предоставления необходимых материалов и ухода для лиц, отвечающих за оказание первой помощи</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 определяется</w:t>
            </w:r>
          </w:p>
        </w:tc>
      </w:tr>
      <w:tr>
        <w:tc>
          <w:tcPr>
            <w:tcW w:type="dxa" w:w="21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1,400,000,00</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67,000,00</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1,333,000,00</w:t>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Защита</w:t>
      </w:r>
    </w:p>
    <w:p>
      <w:pPr>
        <w:tabs>
          <w:tab w:val="right" w:pos="10178"/>
        </w:tabs>
        <w:spacing w:after="120"/>
      </w:pPr>
      <w:r>
        <w:rPr>
          <w:rFonts w:ascii="Arial" w:cs="Arial" w:eastAsia="Arial" w:hAnsi="Arial"/>
          <w:sz w:val="24"/>
          <w:szCs w:val="24"/>
        </w:rPr>
        <w:t xml:space="preserve">КОЛИЧЕСТВО НУЖДАЮЩИХСЯ</w:t>
      </w:r>
      <w:r>
        <w:rPr>
          <w:rFonts w:ascii="Arial" w:cs="Arial" w:eastAsia="Arial" w:hAnsi="Arial"/>
          <w:sz w:val="24"/>
          <w:szCs w:val="24"/>
        </w:rPr>
        <w:t xml:space="preserve">	</w:t>
      </w:r>
      <w:r>
        <w:rPr>
          <w:rFonts w:ascii="Arial" w:cs="Arial" w:eastAsia="Arial" w:hAnsi="Arial"/>
          <w:sz w:val="24"/>
          <w:szCs w:val="24"/>
        </w:rPr>
        <w:t xml:space="preserve">ПОТРЕБНОСТЬ</w:t>
      </w:r>
    </w:p>
    <w:p>
      <w:pPr>
        <w:tabs>
          <w:tab w:val="right" w:pos="10178"/>
        </w:tabs>
        <w:spacing w:after="120"/>
      </w:pPr>
      <w:r>
        <w:rPr>
          <w:rFonts w:ascii="Arial" w:cs="Arial" w:eastAsia="Arial" w:hAnsi="Arial"/>
          <w:sz w:val="24"/>
          <w:szCs w:val="24"/>
        </w:rPr>
        <w:t xml:space="preserve">3 млн.</w:t>
      </w:r>
      <w:r>
        <w:rPr>
          <w:rFonts w:ascii="Arial" w:cs="Arial" w:eastAsia="Arial" w:hAnsi="Arial"/>
          <w:sz w:val="24"/>
          <w:szCs w:val="24"/>
        </w:rPr>
        <w:t xml:space="preserve">	</w:t>
      </w:r>
      <w:r>
        <w:rPr>
          <w:rFonts w:ascii="Arial" w:cs="Arial" w:eastAsia="Arial" w:hAnsi="Arial"/>
          <w:sz w:val="24"/>
          <w:szCs w:val="24"/>
        </w:rPr>
        <w:t xml:space="preserve">долл. США 1,187,000,00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Участники сектора и другие партнеры:</w:t>
      </w:r>
    </w:p>
    <w:p>
      <w:pPr>
        <w:spacing w:after="120"/>
        <w:jc w:val="both"/>
      </w:pPr>
      <w:r>
        <w:rPr>
          <w:rFonts w:ascii="Arial" w:cs="Arial" w:eastAsia="Arial" w:hAnsi="Arial"/>
          <w:sz w:val="24"/>
          <w:szCs w:val="24"/>
        </w:rPr>
        <w:t xml:space="preserve">ЮНИСЕФ, ООН ЖЕНЩИНЫ, ЮНФПА, ПРООН, УНП ООН МККК, МОМ, УВКПЧ, ЮНЭЙДС, HelpAge International, МЗ, МТСР, Ассоциация кризисных центров, ОГО "ДИА"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условиях чрезвычайного положения с ограничением передвижения возник ряд проблем, связанных с защитой, в соответствии с тенденцией, уже отмеченной в других странах в аналогичном контексте. Контакты с отраслевыми министерствами, партнерами-исполнителями и средствами массовой информации позволили выявить всплеск случаев домашнего насилия, затрагивающих женщин и детей, а также возросшие проблемы, с которыми сталкиваются все уязвимые группы населения, включая, в частности, пожилых людей, мигрантов, лиц с инвалидностью, детей, находящихся в интернатных учреждениях и лиц отбывающих наказание. В частности, женщины чаще чем мужчины работают в нестабильном неформальном секторе, неся на себе более тяжелое бремя неоплачиваемого ухода, и могут столкнуться с перерывами в работе, в результате этого ситуация с COVID-19 делает их более уязвимыми к потрясениям.</w:t>
      </w:r>
    </w:p>
    <w:p>
      <w:pPr>
        <w:spacing w:after="120"/>
        <w:jc w:val="both"/>
      </w:pPr>
      <w:r>
        <w:rPr>
          <w:rFonts w:ascii="Arial" w:cs="Arial" w:eastAsia="Arial" w:hAnsi="Arial"/>
          <w:sz w:val="24"/>
          <w:szCs w:val="24"/>
        </w:rPr>
        <w:t xml:space="preserve">В то же время системы социальной защиты, не учитывающие факторы уязвимости в ходе COVID-19, могут усугублять положение бедных и маргинализированных групп, а также приводить к перекрестным или множественным формам дискриминации в отношении различных групп, включая лиц с инвалидностью, престарелых, мигрантов, лиц подвергшихся домашнему насилию, траффикингу, принимающих наркотические средства и т.д.</w:t>
      </w:r>
    </w:p>
    <w:p>
      <w:pPr>
        <w:spacing w:after="120"/>
        <w:jc w:val="both"/>
      </w:pPr>
      <w:r>
        <w:rPr>
          <w:rFonts w:ascii="Arial" w:cs="Arial" w:eastAsia="Arial" w:hAnsi="Arial"/>
          <w:sz w:val="24"/>
          <w:szCs w:val="24"/>
        </w:rPr>
        <w:t xml:space="preserve">Гендерное и возрастное неравенство, а также неравенство по признаку инвалидности усугубляют ситуацию, в результате чего уязвимые группы населения подвергаются большему риску нарушения их прав и нуждаются в услугах по профилактике и реагированию. В особенности, когда необходимые услуги сокращаются по мере отвлечения ресурсов на удовлетворение потребностей, связанных со здравоохранением.</w:t>
      </w:r>
    </w:p>
    <w:p>
      <w:pPr>
        <w:spacing w:after="120"/>
        <w:jc w:val="both"/>
      </w:pPr>
      <w:r>
        <w:rPr>
          <w:rFonts w:ascii="Arial" w:cs="Arial" w:eastAsia="Arial" w:hAnsi="Arial"/>
          <w:sz w:val="24"/>
          <w:szCs w:val="24"/>
        </w:rPr>
        <w:t xml:space="preserve">Одной из основных проблем в этом секторе является положение детей и взрослых, содержащихся в интернатах и закрытых учреждениях.</w:t>
      </w:r>
    </w:p>
    <w:p>
      <w:pPr>
        <w:spacing w:after="120"/>
        <w:jc w:val="both"/>
      </w:pPr>
      <w:r>
        <w:rPr>
          <w:rFonts w:ascii="Arial" w:cs="Arial" w:eastAsia="Arial" w:hAnsi="Arial"/>
          <w:sz w:val="24"/>
          <w:szCs w:val="24"/>
        </w:rPr>
        <w:t xml:space="preserve">В дополнение к его разрушительным последствиям для заключенных и лиц, которым предъявлено обвинение, вспышка COVID-19 в тюрьмах в равной степени подорвет текущие усилия по контролю пандемии. Поэтому тюрьмы и другие места содержания под стражей должны стать неотъемлемой частью планирования действий в чрезвычайных ситуациях для борьбы с пандемией COVID-19 в Кыргызской Республике.</w:t>
      </w:r>
    </w:p>
    <w:p>
      <w:pPr>
        <w:spacing w:after="240" w:before="200"/>
        <w:jc w:val="center"/>
      </w:pPr>
      <w:r>
        <w:rPr>
          <w:rFonts w:ascii="Arial" w:cs="Arial" w:eastAsia="Arial" w:hAnsi="Arial"/>
          <w:b/>
          <w:bCs/>
          <w:sz w:val="32"/>
          <w:szCs w:val="32"/>
        </w:rPr>
        <w:t xml:space="preserve">Задачи сектора</w:t>
      </w:r>
    </w:p>
    <w:p>
      <w:pPr>
        <w:spacing w:after="120"/>
        <w:jc w:val="both"/>
      </w:pPr>
      <w:r>
        <w:rPr>
          <w:rFonts w:ascii="Arial" w:cs="Arial" w:eastAsia="Arial" w:hAnsi="Arial"/>
          <w:sz w:val="24"/>
          <w:szCs w:val="24"/>
        </w:rPr>
        <w:t xml:space="preserve">Цель секторального подхода в гуманитарных ситуациях заключается в обеспечении согласованного и эффективного воздействия путем мобилизации правительственных учреждений, международных организаций, агентств ООН, программ и фондов, а также неправительственных организаций (далее - НПО) на стратегическое реагирование, позволяющее закрыть пробелы, повысить предсказуемость и укрепить потенциал гуманитарных организаций во всех ключевых областях деятельности в чрезвычайной ситуации. Кроме того, одной из основных задач сектора является обеспечение того, чтобы во время чрезвычайного положения ответные меры Правительства были соразмерны, а принимаемые меры по поддержанию общественного порядка осуществлялись в соответствии со стандартами в области прав человека, конституционными правами и внутренними правовыми рамками без злоупотребления властью. Защита детей и защита от гендерного насилия являются двумя областями ответственности в рамках сектора защиты, которые имеют тематические подсекторы. Кроме того, в этом секторе определены следующие приоритетные области и целевые группы.</w:t>
      </w:r>
    </w:p>
    <w:p>
      <w:pPr>
        <w:spacing w:after="120"/>
        <w:jc w:val="both"/>
      </w:pPr>
      <w:r>
        <w:rPr>
          <w:rFonts w:ascii="Arial" w:cs="Arial" w:eastAsia="Arial" w:hAnsi="Arial"/>
          <w:sz w:val="24"/>
          <w:szCs w:val="24"/>
        </w:rPr>
        <w:t xml:space="preserve">Стигматизация/дискриминация различных групп населения.</w:t>
      </w:r>
    </w:p>
    <w:p>
      <w:pPr>
        <w:spacing w:after="120"/>
        <w:jc w:val="both"/>
      </w:pPr>
      <w:r>
        <w:rPr>
          <w:rFonts w:ascii="Arial" w:cs="Arial" w:eastAsia="Arial" w:hAnsi="Arial"/>
          <w:sz w:val="24"/>
          <w:szCs w:val="24"/>
        </w:rPr>
        <w:t xml:space="preserve">Переориентация Правительства на обязательства и стандарты в области прав человека в ходе разработки и принятия постановлений, стандартных операционных процедур, нормативно-правовых актов и т.д.</w:t>
      </w:r>
    </w:p>
    <w:p>
      <w:pPr>
        <w:spacing w:after="120"/>
        <w:jc w:val="both"/>
      </w:pPr>
      <w:r>
        <w:rPr>
          <w:rFonts w:ascii="Arial" w:cs="Arial" w:eastAsia="Arial" w:hAnsi="Arial"/>
          <w:sz w:val="24"/>
          <w:szCs w:val="24"/>
        </w:rPr>
        <w:t xml:space="preserve">Уязвимые группы: дети, малоимущие семьи, лица с инвалидностью, люди в зрелом возрасте, лица, подвергшиеся домашнему насилию, живущие с ВИЧ, лица, принимающие наркотические средства, молодежь, мигранты (внутренние и внешние), беженцы, лица, ищущие убежище, и лица без гражданства, уязвимые женщины, лица, находящиеся в интернатных домах и закрытых учреждениях, лица, отбывающие наказание.</w:t>
      </w:r>
    </w:p>
    <w:p>
      <w:pPr>
        <w:spacing w:after="240" w:before="200"/>
        <w:jc w:val="center"/>
      </w:pPr>
      <w:r>
        <w:rPr>
          <w:rFonts w:ascii="Arial" w:cs="Arial" w:eastAsia="Arial" w:hAnsi="Arial"/>
          <w:b/>
          <w:bCs/>
          <w:sz w:val="32"/>
          <w:szCs w:val="32"/>
        </w:rPr>
        <w:t xml:space="preserve">Ожидаемые результаты</w:t>
      </w:r>
    </w:p>
    <w:p>
      <w:pPr>
        <w:spacing w:after="120"/>
        <w:jc w:val="both"/>
      </w:pPr>
      <w:r>
        <w:rPr>
          <w:rFonts w:ascii="Arial" w:cs="Arial" w:eastAsia="Arial" w:hAnsi="Arial"/>
          <w:sz w:val="24"/>
          <w:szCs w:val="24"/>
        </w:rPr>
        <w:t xml:space="preserve">Не менее 1000000 человек охвачены коммуникационными, информационно-разъяснительными и профилактическими мерами по вопросам защиты детей от дискриминации, гендерного насилия, а также повышения информированности об обязанностях граждан в условиях чрезвычайного положения.</w:t>
      </w:r>
    </w:p>
    <w:p>
      <w:pPr>
        <w:spacing w:after="120"/>
        <w:jc w:val="both"/>
      </w:pPr>
      <w:r>
        <w:rPr>
          <w:rFonts w:ascii="Arial" w:cs="Arial" w:eastAsia="Arial" w:hAnsi="Arial"/>
          <w:sz w:val="24"/>
          <w:szCs w:val="24"/>
        </w:rPr>
        <w:t xml:space="preserve">Около 50000 лиц с инвалидностью имеют доступ к денежной и безналичной помощи в период кризиса.</w:t>
      </w:r>
    </w:p>
    <w:p>
      <w:pPr>
        <w:spacing w:after="120"/>
        <w:jc w:val="both"/>
      </w:pPr>
      <w:r>
        <w:rPr>
          <w:rFonts w:ascii="Arial" w:cs="Arial" w:eastAsia="Arial" w:hAnsi="Arial"/>
          <w:sz w:val="24"/>
          <w:szCs w:val="24"/>
        </w:rPr>
        <w:t xml:space="preserve">Почти 30000 детей пользуются телефоном доверия, психосоциальной поддержкой, в т.ч. детей в интернатных учреждениях, которым оказывается дополнительная поддержка, чтобы справиться с ситуацией.</w:t>
      </w:r>
    </w:p>
    <w:p>
      <w:pPr>
        <w:spacing w:after="120"/>
        <w:jc w:val="both"/>
      </w:pPr>
      <w:r>
        <w:rPr>
          <w:rFonts w:ascii="Arial" w:cs="Arial" w:eastAsia="Arial" w:hAnsi="Arial"/>
          <w:sz w:val="24"/>
          <w:szCs w:val="24"/>
        </w:rPr>
        <w:t xml:space="preserve">Около 30000 женщин и девочек имеют доступ к информации и услугам по профилактике и реагированию в связи с гендерным насилием.</w:t>
      </w:r>
    </w:p>
    <w:p>
      <w:pPr>
        <w:spacing w:after="120"/>
        <w:jc w:val="both"/>
      </w:pPr>
      <w:r>
        <w:rPr>
          <w:rFonts w:ascii="Arial" w:cs="Arial" w:eastAsia="Arial" w:hAnsi="Arial"/>
          <w:sz w:val="24"/>
          <w:szCs w:val="24"/>
        </w:rPr>
        <w:t xml:space="preserve">Около 3000 человек (почти 100 человек ежедневно нарушают комендантский час) с которыми обращение осуществляется в соответствии с нормами и стандартами в области прав человека.</w:t>
      </w:r>
    </w:p>
    <w:p>
      <w:pPr>
        <w:spacing w:after="120"/>
        <w:jc w:val="both"/>
      </w:pPr>
      <w:r>
        <w:rPr>
          <w:rFonts w:ascii="Arial" w:cs="Arial" w:eastAsia="Arial" w:hAnsi="Arial"/>
          <w:sz w:val="24"/>
          <w:szCs w:val="24"/>
        </w:rPr>
        <w:t xml:space="preserve">227 лиц, живущих с ВИЧ, получили продовольственные наборы и консультации.</w:t>
      </w:r>
    </w:p>
    <w:p>
      <w:pPr>
        <w:spacing w:after="120"/>
        <w:jc w:val="both"/>
      </w:pPr>
      <w:r>
        <w:rPr>
          <w:rFonts w:ascii="Arial" w:cs="Arial" w:eastAsia="Arial" w:hAnsi="Arial"/>
          <w:sz w:val="24"/>
          <w:szCs w:val="24"/>
        </w:rPr>
        <w:t xml:space="preserve">582 беженца и лица, ищущего убежище имеют доступ к получению и продлению соответствующих документов.</w:t>
      </w:r>
    </w:p>
    <w:p>
      <w:pPr>
        <w:spacing w:after="120"/>
        <w:jc w:val="both"/>
      </w:pPr>
      <w:r>
        <w:rPr>
          <w:rFonts w:ascii="Arial" w:cs="Arial" w:eastAsia="Arial" w:hAnsi="Arial"/>
          <w:sz w:val="24"/>
          <w:szCs w:val="24"/>
        </w:rPr>
        <w:t xml:space="preserve">582 беженца и лица, ищущего убежище включены в программы предотвращения и реагирования на COVID-19 как категория уязвимых лиц.</w:t>
      </w:r>
    </w:p>
    <w:p>
      <w:pPr>
        <w:spacing w:after="120"/>
        <w:jc w:val="both"/>
      </w:pPr>
      <w:r>
        <w:rPr>
          <w:rFonts w:ascii="Arial" w:cs="Arial" w:eastAsia="Arial" w:hAnsi="Arial"/>
          <w:sz w:val="24"/>
          <w:szCs w:val="24"/>
        </w:rPr>
        <w:t xml:space="preserve">Другие лица (включая лиц, находящихся в местах, связанных с отбыванием наказания) и общины, чьи права были затронуты или нарушены, имеют доступ к юридическим консультациям и защите.</w:t>
      </w:r>
    </w:p>
    <w:p>
      <w:pPr>
        <w:spacing w:after="240" w:before="200"/>
        <w:jc w:val="center"/>
      </w:pPr>
      <w:r>
        <w:rPr>
          <w:rFonts w:ascii="Arial" w:cs="Arial" w:eastAsia="Arial" w:hAnsi="Arial"/>
          <w:b/>
          <w:bCs/>
          <w:sz w:val="32"/>
          <w:szCs w:val="32"/>
        </w:rPr>
        <w:t xml:space="preserve">Мероприятия сектора и бюджет</w:t>
      </w:r>
    </w:p>
    <w:p>
      <w:pPr>
        <w:spacing w:after="120"/>
        <w:jc w:val="both"/>
      </w:pPr>
      <w:r>
        <w:rPr>
          <w:rFonts w:ascii="Arial" w:cs="Arial" w:eastAsia="Arial" w:hAnsi="Arial"/>
          <w:sz w:val="24"/>
          <w:szCs w:val="24"/>
        </w:rPr>
        <w:t xml:space="preserve">В поддержку Антикризисного плана Министерства труда и социального развития Кыргызской Республики и других приоритетных мероприятий были разработаны следующие первоначальные меры реагирования.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Секция по коммуникации и превентивным мерам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4"/>
        <w:gridCol w:w="4295"/>
        <w:gridCol w:w="1393"/>
        <w:gridCol w:w="1393"/>
        <w:gridCol w:w="1812"/>
      </w:tblGrid>
      <w:tr>
        <w:tc>
          <w:tcPr>
            <w:tcW w:type="dxa" w:w="128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организации</w:t>
            </w:r>
          </w:p>
        </w:tc>
        <w:tc>
          <w:tcPr>
            <w:tcW w:type="dxa" w:w="42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Предполагаемые мероприятия</w:t>
            </w:r>
          </w:p>
        </w:tc>
        <w:tc>
          <w:tcPr>
            <w:tcW w:type="dxa" w:w="27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Бюджет</w:t>
            </w:r>
          </w:p>
        </w:tc>
        <w:tc>
          <w:tcPr>
            <w:tcW w:type="dxa" w:w="18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Предварительный график выполнения мероприятий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Доступный в долл. США</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Требующий привлечения</w:t>
            </w:r>
          </w:p>
        </w:tc>
        <w:tc>
          <w:tcPr>
            <w:vMerge w:val="continue"/>
            <w:tcBorders>
              <w:top w:val="single" w:color="CBBF9E" w:sz="4"/>
              <w:left w:val="none" w:color="auto" w:sz="0"/>
              <w:bottom w:val="single" w:color="CBBF9E" w:sz="4"/>
              <w:right w:val="single" w:color="CBBF9E" w:sz="4"/>
            </w:tcBorders>
          </w:tcP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УВКПЧ</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и адвокация в целях обеспечения уважения прав человека (помимо защиты детей и гендерного насилия) в контексте чрезвычайной ситуации и мер реагирования на COVID-19</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2,000,00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распространение видеоматериалов и инфографики для показа по телевидению и распространения в социальных сетях (на русском и кыргызском языках) для широкой общественности по вопросам доступа к правосудию во время чрезвычайной ситуации</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$10,000,00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УНП ООН МККК,</w:t>
            </w:r>
          </w:p>
          <w:p>
            <w:pPr>
              <w:jc w:val="left"/>
            </w:pPr>
            <w:r>
              <w:rPr>
                <w:rFonts w:ascii="Arial" w:cs="Arial" w:eastAsia="Arial" w:hAnsi="Arial"/>
                <w:sz w:val="24"/>
                <w:szCs w:val="24"/>
              </w:rPr>
              <w:t xml:space="preserve">МОМ,</w:t>
            </w:r>
          </w:p>
          <w:p>
            <w:pPr>
              <w:jc w:val="left"/>
            </w:pPr>
            <w:r>
              <w:rPr>
                <w:rFonts w:ascii="Arial" w:cs="Arial" w:eastAsia="Arial" w:hAnsi="Arial"/>
                <w:sz w:val="24"/>
                <w:szCs w:val="24"/>
              </w:rPr>
              <w:t xml:space="preserve">HelpAge International</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кампания о превентивных мерах, доступных для женщин и детей в связи с гендерным насилием/домашним насилием в рамках COVID-19, меры безопасности, горячие линии (112, 111, 103, 118) и другие виды поддержки (листовки, плакаты и через социальные сети, WhatsApp);</w:t>
            </w:r>
          </w:p>
          <w:p>
            <w:pPr>
              <w:jc w:val="left"/>
            </w:pPr>
            <w:r>
              <w:rPr>
                <w:rFonts w:ascii="Arial" w:cs="Arial" w:eastAsia="Arial" w:hAnsi="Arial"/>
                <w:sz w:val="24"/>
                <w:szCs w:val="24"/>
              </w:rPr>
              <w:t xml:space="preserve">информационная кампания по снижению стигмы и дискриминации (женщины-медработники, женщины, девочки) также через социальные сети с привлечением лидеров общественного мнения (религиозных и т.д.);</w:t>
            </w:r>
          </w:p>
          <w:p>
            <w:pPr>
              <w:jc w:val="left"/>
            </w:pPr>
            <w:r>
              <w:rPr>
                <w:rFonts w:ascii="Arial" w:cs="Arial" w:eastAsia="Arial" w:hAnsi="Arial"/>
                <w:sz w:val="24"/>
                <w:szCs w:val="24"/>
              </w:rPr>
              <w:t xml:space="preserve">информационные материалы о профилактике нежелательной беременности (планирование семьи), ВИЧ и ИППП;</w:t>
            </w:r>
          </w:p>
          <w:p>
            <w:pPr>
              <w:jc w:val="left"/>
            </w:pPr>
            <w:r>
              <w:rPr>
                <w:rFonts w:ascii="Arial" w:cs="Arial" w:eastAsia="Arial" w:hAnsi="Arial"/>
                <w:sz w:val="24"/>
                <w:szCs w:val="24"/>
              </w:rPr>
              <w:t xml:space="preserve">информационные материалы по безопасной миграции, COVID-19, рискам торговли людьми; (по республике, в новостройке Кара-Джигач в Бишкеке, г.Кызыл-Кия в Баткенской области; в средних школах и профессионально-технических училищах).</w:t>
            </w:r>
          </w:p>
          <w:p>
            <w:pPr>
              <w:jc w:val="left"/>
            </w:pPr>
            <w:r>
              <w:rPr>
                <w:rFonts w:ascii="Arial" w:cs="Arial" w:eastAsia="Arial" w:hAnsi="Arial"/>
                <w:sz w:val="24"/>
                <w:szCs w:val="24"/>
              </w:rPr>
              <w:t xml:space="preserve">Внедрение подхода электронного обучения для применения Минимальных стандартных правил ООН по обращению с заключенными в ГСИН с целью разработки специализированной информационно-просветительских мероприятий для заключенных и их родственников на ограничительные процедуры, которые могут потребоваться для защиты их здоровья, а также здоровья их семей и общин.</w:t>
            </w:r>
          </w:p>
          <w:p>
            <w:pPr>
              <w:jc w:val="left"/>
            </w:pPr>
            <w:r>
              <w:rPr>
                <w:rFonts w:ascii="Arial" w:cs="Arial" w:eastAsia="Arial" w:hAnsi="Arial"/>
                <w:sz w:val="24"/>
                <w:szCs w:val="24"/>
              </w:rPr>
              <w:t xml:space="preserve">Информационная кампания о превентивных мерах, связанных с COVID-19, для практикующих в сфере уголовного правосудия, тюремного персонала, заключенных и их родственников путем разработки и распространения листовок, плакатов и инфографики и проведения информационных сессий с задержанными и персоналом мест содержания под стражей</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10,000,00</w:t>
            </w:r>
          </w:p>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40,000,00</w:t>
            </w:r>
          </w:p>
          <w:p>
            <w:pPr>
              <w:jc w:val="left"/>
            </w:pPr>
            <w:r>
              <w:rPr>
                <w:rFonts w:ascii="Arial" w:cs="Arial" w:eastAsia="Arial" w:hAnsi="Arial"/>
                <w:sz w:val="24"/>
                <w:szCs w:val="24"/>
              </w:rPr>
              <w:t xml:space="preserve">МОМ</w:t>
            </w:r>
          </w:p>
          <w:p>
            <w:pPr>
              <w:jc w:val="left"/>
            </w:pPr>
            <w:r>
              <w:rPr>
                <w:rFonts w:ascii="Arial" w:cs="Arial" w:eastAsia="Arial" w:hAnsi="Arial"/>
                <w:sz w:val="24"/>
                <w:szCs w:val="24"/>
              </w:rPr>
              <w:t xml:space="preserve">65,000,00</w:t>
            </w:r>
          </w:p>
          <w:p>
            <w:pPr>
              <w:jc w:val="left"/>
            </w:pPr>
            <w:r>
              <w:rPr>
                <w:rFonts w:ascii="Arial" w:cs="Arial" w:eastAsia="Arial" w:hAnsi="Arial"/>
                <w:sz w:val="24"/>
                <w:szCs w:val="24"/>
              </w:rPr>
              <w:t xml:space="preserve">УНП ООН 15,000,00</w:t>
            </w:r>
          </w:p>
          <w:p>
            <w:pPr>
              <w:jc w:val="left"/>
            </w:pPr>
            <w:r>
              <w:rPr>
                <w:rFonts w:ascii="Arial" w:cs="Arial" w:eastAsia="Arial" w:hAnsi="Arial"/>
                <w:sz w:val="24"/>
                <w:szCs w:val="24"/>
              </w:rPr>
              <w:t xml:space="preserve">HelpAge International (в рамках существующего проекта)</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УНП ООН,</w:t>
            </w:r>
          </w:p>
          <w:p>
            <w:pPr>
              <w:jc w:val="left"/>
            </w:pPr>
            <w:r>
              <w:rPr>
                <w:rFonts w:ascii="Arial" w:cs="Arial" w:eastAsia="Arial" w:hAnsi="Arial"/>
                <w:sz w:val="24"/>
                <w:szCs w:val="24"/>
              </w:rPr>
              <w:t xml:space="preserve">ЮНФПА</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Министерству чрезвычайных ситуаций Кыргызской Республики в регулярной рассылке сообщений о предотвращении гендерного насилия с помощью СМС и социальных сетей</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ЮНФПА</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материалы для работников первичной медико-санитарной помощи о стандартных оперативных процедурах в случае гендерного насилия, COVID-19, с перечнем приютов, кризисных центров, адвокатов и т.д.</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10,000,00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ООН Женщины</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в разработке сообщений и распространению через группы учителей и родителей информации о предотвращении насилия, гендерного насилия, горячих линий и приютов</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20,000,00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ЦООНБТ,</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HelpAge International и другие партнеры</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через сети БО, ОМСУ (новостройки) молодежи и женщин для распространения информации о COVID-19 и профилактических мерах с использованием цифровых платформ</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20,000,00</w:t>
            </w:r>
          </w:p>
          <w:p>
            <w:pPr>
              <w:jc w:val="left"/>
            </w:pPr>
            <w:r>
              <w:rPr>
                <w:rFonts w:ascii="Arial" w:cs="Arial" w:eastAsia="Arial" w:hAnsi="Arial"/>
                <w:sz w:val="24"/>
                <w:szCs w:val="24"/>
              </w:rPr>
              <w:t xml:space="preserve">HelpAge International (в рамках существующего проекта)</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ЮНИСЕФ</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Тренинги по IT/цифровым навыкам для местных активистов в 16 общинах Ошской, Баткенской, Таласской, Иссык-Кульской областей позволяющие создавать электронные сети и поддержка группы мужчин-чемпионов для ведения видеоблогов о своей повседневной жизни с эпизодами их участия в уходе и работе по дому, призывающих к недопущению домашнего насилия</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3,000,00</w:t>
            </w:r>
          </w:p>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10,000,00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распространение 20 роликов для детей и подростков по ключевым вопросам защиты и борьбы с дискриминацией (кыргызский, русский) для показа по телевидению и распространения в социальных сетях</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18,000,00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контента в социальных сетях на русском, кыргызском и узбекском языках для повышения осведомленности о COVID-19, избегая стигмы и вопросов вторичного воздействия, связанных с защитой детей (ДЗД и т.д.)</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5,000,00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УВКБ</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беженцам, лицам, ищущим убежища, и лицам без гражданства об имеющихся механизмах поддержки</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УВКБ</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защиты лиц без гражданства с помощью специальных телефонных линий УВКБ ООН и его партнерских организаций и общинных лидеров</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существующих средств</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HelpAge International</w:t>
            </w:r>
          </w:p>
        </w:tc>
        <w:tc>
          <w:tcPr>
            <w:tcW w:type="dxa" w:w="4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руководства по защите пожилых людей в контексте COVID-19 и других руководств, включая рекомендации для тех, кто работает в домашних условиях по уходу, о безопасном администрировании социальных пенсий во время вспышки COVID-19, будут разработаны дополнительные руководящие указания по оказанию паллиативной помощи на уровне общин</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HelpAge International (В рамках существующих средств)</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Секция по реагированию</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3"/>
        <w:gridCol w:w="4069"/>
        <w:gridCol w:w="1211"/>
        <w:gridCol w:w="1211"/>
        <w:gridCol w:w="1824"/>
      </w:tblGrid>
      <w:tr>
        <w:tc>
          <w:tcPr>
            <w:tcW w:type="dxa" w:w="186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организации</w:t>
            </w:r>
          </w:p>
        </w:tc>
        <w:tc>
          <w:tcPr>
            <w:tcW w:type="dxa" w:w="40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Предполагаемые мероприятия</w:t>
            </w:r>
          </w:p>
        </w:tc>
        <w:tc>
          <w:tcPr>
            <w:tcW w:type="dxa" w:w="24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Бюджет</w:t>
            </w:r>
          </w:p>
        </w:tc>
        <w:tc>
          <w:tcPr>
            <w:tcW w:type="dxa" w:w="18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Предварительный график выполнения мероприятий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Доступный</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Требующий привлечения</w:t>
            </w:r>
          </w:p>
        </w:tc>
        <w:tc>
          <w:tcPr>
            <w:vMerge w:val="continue"/>
            <w:tcBorders>
              <w:top w:val="single" w:color="CBBF9E" w:sz="4"/>
              <w:left w:val="none" w:color="auto" w:sz="0"/>
              <w:bottom w:val="single" w:color="CBBF9E" w:sz="4"/>
              <w:right w:val="single" w:color="CBBF9E" w:sz="4"/>
            </w:tcBorders>
          </w:tcP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УВКПЧ</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СМИ за II квартал 2020 года с акцентом на язык вражды относительно ситуации с COVID-19</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5,200,00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УНП ООН</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случаев нарушения прав человека и дискриминации, связанных с COVID-19, включая нарушений касающихся лиц, отбывающих наказание в карантинный период</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3,000,00</w:t>
            </w:r>
          </w:p>
          <w:p>
            <w:pPr>
              <w:jc w:val="left"/>
            </w:pPr>
            <w:r>
              <w:rPr>
                <w:rFonts w:ascii="Arial" w:cs="Arial" w:eastAsia="Arial" w:hAnsi="Arial"/>
                <w:sz w:val="24"/>
                <w:szCs w:val="24"/>
              </w:rPr>
              <w:t xml:space="preserve">УНП ООН</w:t>
            </w:r>
          </w:p>
          <w:p>
            <w:pPr>
              <w:jc w:val="left"/>
            </w:pPr>
            <w:r>
              <w:rPr>
                <w:rFonts w:ascii="Arial" w:cs="Arial" w:eastAsia="Arial" w:hAnsi="Arial"/>
                <w:sz w:val="24"/>
                <w:szCs w:val="24"/>
              </w:rPr>
              <w:t xml:space="preserve">1,000,00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и консультативная поддержка НПЗУ (Национальный центр по предупреждению пыток, Институт Омбудсмена) в проведении мониторинга положения в области прав человека и принятии мер в связи с COVID-19</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1,800,00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ГКРЧС,</w:t>
            </w:r>
          </w:p>
          <w:p>
            <w:pPr>
              <w:jc w:val="left"/>
            </w:pPr>
            <w:r>
              <w:rPr>
                <w:rFonts w:ascii="Arial" w:cs="Arial" w:eastAsia="Arial" w:hAnsi="Arial"/>
                <w:sz w:val="24"/>
                <w:szCs w:val="24"/>
              </w:rPr>
              <w:t xml:space="preserve">сектор защиты</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Закона Кыргызской Республики "О Гражданской защите" и подзаконных актов, вытекающих из него, на предмет совершенствования, восполнения пробелов, выработки механизмов реализации с учетом введения режима ЧС и ЧП</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Экспертная поддержка</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стандартных оперативных процедур/руководств (на русском и кыргызском языках) для правоохранительных органов, организаций, оказывающих юридическую помощь и органов прокуратуры по практическим, соразмерным, соответствующим правам человека и законным шагам/действиям, которые должны быть предприняты в особых ситуациях</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- 10,000,00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проведение специализированных онлайн тренингов для сотрудников правоохранительных органов по разработанным Стандартным оперативным процедурам, законам и правам человека, которые должны соблюдаться во время чрезвычайных ситуаций (в г.Бишкек, в Ошской и Джалал-Абадской области)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- 10,000,00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УВКПЧ,</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Правовой анализ/пересмотр конституционного закона о чрезвычайном положении в соответствии с национальными конституционными, правовыми и процессуальными рамками и приведение его в соответствие с Конституцией, Уголовным кодексом, Кодексом о проступках, Кодексом о правонарушениях, а также синхронизация и пакетные изменения в других соответствующих законах, таких как закон о здравоохранении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- 5,000,00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УНП ООН</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Оказывать юридическую помощь уязвимым группам населения (незаконные задержания и содержание под стражей, жертвы торговли людьми и т.д.)</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- 15,000,00</w:t>
            </w:r>
          </w:p>
          <w:p>
            <w:pPr>
              <w:jc w:val="left"/>
            </w:pPr>
            <w:r>
              <w:rPr>
                <w:rFonts w:ascii="Arial" w:cs="Arial" w:eastAsia="Arial" w:hAnsi="Arial"/>
                <w:sz w:val="24"/>
                <w:szCs w:val="24"/>
              </w:rPr>
              <w:t xml:space="preserve">УНП ООН</w:t>
            </w:r>
          </w:p>
          <w:p>
            <w:pPr>
              <w:jc w:val="left"/>
            </w:pPr>
            <w:r>
              <w:rPr>
                <w:rFonts w:ascii="Arial" w:cs="Arial" w:eastAsia="Arial" w:hAnsi="Arial"/>
                <w:sz w:val="24"/>
                <w:szCs w:val="24"/>
              </w:rPr>
              <w:t xml:space="preserve">15,000,00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УНП ООН,</w:t>
            </w:r>
          </w:p>
          <w:p>
            <w:pPr>
              <w:jc w:val="left"/>
            </w:pPr>
            <w:r>
              <w:rPr>
                <w:rFonts w:ascii="Arial" w:cs="Arial" w:eastAsia="Arial" w:hAnsi="Arial"/>
                <w:sz w:val="24"/>
                <w:szCs w:val="24"/>
              </w:rPr>
              <w:t xml:space="preserve">МКК</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средства индивидуальной защиты и иные материалы для защиты от коронавируса правоохранительным органам, ГСИН и наркологическому центру</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- 20,000,00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помощи через горячие линии и оказание онлайн юридических консультаций Министерству внутренних дел Кыргызской Республики, Аппарату Правительства Кыргызской Республики, Генеральной прокуратуре Кыргызской Республики, Верховному суду Кыргызской Республики по вопросам правового регулирования ситуации, по острым вопросам, возникающим на практике, и др.</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- 10,000,00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информационных материалов о готовности к чрезвычайным ситуациям в области здравоохранения для заключенных и сотрудников исправительных учреждений</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ООН Женщины</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Министерству труда и социального развития в обеспечении скоординированной многосекторальной поддержки в целях предотвращения гендерного насилия и реагирования на него (предотвращение/реакция/посткризис) в рамках под-сектора Гендерное насилие (в рамках Сектора по защите ООН), а также технической поддержки министерствам в разработке Стандартных оперативных процедур, пошаговых планов действий по реагированию на COVID-19</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10,000,00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ООН Женщины</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 поставщиками услуг по картированию существующих или доступных услуг в период чрезвычайного положения, чрезвычайной ситуации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5,000,00</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Ассоциация кризисных центров,</w:t>
            </w:r>
          </w:p>
          <w:p>
            <w:pPr>
              <w:jc w:val="left"/>
            </w:pPr>
            <w:r>
              <w:rPr>
                <w:rFonts w:ascii="Arial" w:cs="Arial" w:eastAsia="Arial" w:hAnsi="Arial"/>
                <w:sz w:val="24"/>
                <w:szCs w:val="24"/>
              </w:rPr>
              <w:t xml:space="preserve">ОГО ДИА,</w:t>
            </w:r>
          </w:p>
          <w:p>
            <w:pPr>
              <w:jc w:val="left"/>
            </w:pPr>
            <w:r>
              <w:rPr>
                <w:rFonts w:ascii="Arial" w:cs="Arial" w:eastAsia="Arial" w:hAnsi="Arial"/>
                <w:sz w:val="24"/>
                <w:szCs w:val="24"/>
              </w:rPr>
              <w:t xml:space="preserve">ОГО,</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перечня психосоциальных специалистов/услуг (по всей стране) и плата за услуги. Организация групп поддержки психического здоровья на принципе "Равный обучает равного" и распространение через молодежные сети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30,000,00</w:t>
            </w:r>
          </w:p>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7,000,00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МТСР в разработке/пересмотре инструкции по скоординированному реагированию на гендерное насилие во время чрезвычайной ситуации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МТСР,</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Онлайновые тренинги/вебинары с участием приглашенных докладчиков из других регионов для поставщиков услуг (МТСР, МВД, а также приютов) о том, как оказывать скоординированную поддержку</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10,000,00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Ключевые министерства,</w:t>
            </w:r>
          </w:p>
          <w:p>
            <w:pPr>
              <w:jc w:val="left"/>
            </w:pPr>
            <w:r>
              <w:rPr>
                <w:rFonts w:ascii="Arial" w:cs="Arial" w:eastAsia="Arial" w:hAnsi="Arial"/>
                <w:sz w:val="24"/>
                <w:szCs w:val="24"/>
              </w:rPr>
              <w:t xml:space="preserve">Ассоциация кризисных центров,</w:t>
            </w:r>
          </w:p>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МОМ</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МЧС и приютам в организации горячей линии для оказания поддержки пострадавшим от домашнего насилия/стигматизации/недостатка доступа к финансовой и правовой информации (консультации в чатах), безопасной миграции и рискам торговли людьми; привлечение адвокатов, работающих безвозмездно, для проведения онлайн консультаций</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Ключевые министерства,</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Совместная работа с Правительством Кыргызской Республики по разработке вопросника и инструкций для мобильных групп/групп по оказанию гуманитарной помощи в целях выявления лиц, пострадавших от гендерного и/или домашнего насилия</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ЮНФПА</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комплектов средств защиты, предоставление кризисных центров, приютов с необходимыми средствами индивидуальной защиты и дезинфицирующих средств в места обсервации/приюты и закрытые общины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подтверждение</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Ключевые министерства,</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УНП ООН,</w:t>
            </w:r>
          </w:p>
          <w:p>
            <w:pPr>
              <w:jc w:val="left"/>
            </w:pPr>
            <w:r>
              <w:rPr>
                <w:rFonts w:ascii="Arial" w:cs="Arial" w:eastAsia="Arial" w:hAnsi="Arial"/>
                <w:sz w:val="24"/>
                <w:szCs w:val="24"/>
              </w:rPr>
              <w:t xml:space="preserve">Ассоциация кризисных центров</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Правительства Кыргызской Республики в оснащении наблюдательных центров (2 на юге республики) с навыками оказания необходимого пакета услуг жертвам гендерного насилия в соответствии с международными стандартами (Стандартные оперативные процедуры + тренинги + оборудование)</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УНП ООН</w:t>
            </w:r>
          </w:p>
          <w:p>
            <w:pPr>
              <w:jc w:val="left"/>
            </w:pPr>
            <w:r>
              <w:rPr>
                <w:rFonts w:ascii="Arial" w:cs="Arial" w:eastAsia="Arial" w:hAnsi="Arial"/>
                <w:sz w:val="24"/>
                <w:szCs w:val="24"/>
              </w:rPr>
              <w:t xml:space="preserve">10,000,00</w:t>
            </w:r>
          </w:p>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10,000,00</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20,000,00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детских центров психологической помощи для госпитализированных лиц и нуждающихся</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17,000,00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Чрезвычайная помощь детям, находящимся в интернатных учреждениях, в соответствии с оценкой приоритетных потребностей, в том числе:</w:t>
            </w:r>
          </w:p>
          <w:p>
            <w:pPr>
              <w:jc w:val="left"/>
            </w:pPr>
            <w:r>
              <w:rPr>
                <w:rFonts w:ascii="Arial" w:cs="Arial" w:eastAsia="Arial" w:hAnsi="Arial"/>
                <w:sz w:val="24"/>
                <w:szCs w:val="24"/>
              </w:rPr>
              <w:t xml:space="preserve">5 учреждений при МТСР, в которых содержатся 423 ребенка с тяжелой формой инвалидности;</w:t>
            </w:r>
          </w:p>
          <w:p>
            <w:pPr>
              <w:jc w:val="left"/>
            </w:pPr>
            <w:r>
              <w:rPr>
                <w:rFonts w:ascii="Arial" w:cs="Arial" w:eastAsia="Arial" w:hAnsi="Arial"/>
                <w:sz w:val="24"/>
                <w:szCs w:val="24"/>
              </w:rPr>
              <w:t xml:space="preserve">3 учреждения при МЗ, в которых содержатся 92 ребенка, либо с тяжелой степенью инвалидности, либо в возрасте до 3 лет;</w:t>
            </w:r>
          </w:p>
          <w:p>
            <w:pPr>
              <w:jc w:val="left"/>
            </w:pPr>
            <w:r>
              <w:rPr>
                <w:rFonts w:ascii="Arial" w:cs="Arial" w:eastAsia="Arial" w:hAnsi="Arial"/>
                <w:sz w:val="24"/>
                <w:szCs w:val="24"/>
              </w:rPr>
              <w:t xml:space="preserve">5 учреждений при МОН, в которых воспитывается 470 детей</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40,000,00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ЮНЭЙДС</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ВИЧ-положительных детей в Сузаке и Ноокате.</w:t>
            </w:r>
          </w:p>
          <w:p>
            <w:pPr>
              <w:jc w:val="left"/>
            </w:pPr>
            <w:r>
              <w:rPr>
                <w:rFonts w:ascii="Arial" w:cs="Arial" w:eastAsia="Arial" w:hAnsi="Arial"/>
                <w:sz w:val="24"/>
                <w:szCs w:val="24"/>
              </w:rPr>
              <w:t xml:space="preserve">Обеспечение питания для детей и доставка АРВ-препаратов во время карантина; ожидается, что 215 детей будут охвачены консультантами-сверстниками;</w:t>
            </w:r>
          </w:p>
          <w:p>
            <w:pPr>
              <w:jc w:val="left"/>
            </w:pPr>
            <w:r>
              <w:rPr>
                <w:rFonts w:ascii="Arial" w:cs="Arial" w:eastAsia="Arial" w:hAnsi="Arial"/>
                <w:sz w:val="24"/>
                <w:szCs w:val="24"/>
              </w:rPr>
              <w:t xml:space="preserve">Поддержка Центра СПИДа в течение 3 месяцев на юге</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ЮНЭЙДС</w:t>
            </w:r>
          </w:p>
          <w:p>
            <w:pPr>
              <w:jc w:val="left"/>
            </w:pPr>
            <w:r>
              <w:rPr>
                <w:rFonts w:ascii="Arial" w:cs="Arial" w:eastAsia="Arial" w:hAnsi="Arial"/>
                <w:sz w:val="24"/>
                <w:szCs w:val="24"/>
              </w:rPr>
              <w:t xml:space="preserve">3,000,00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Ключевые министерства,</w:t>
            </w:r>
          </w:p>
          <w:p>
            <w:pPr>
              <w:jc w:val="left"/>
            </w:pPr>
            <w:r>
              <w:rPr>
                <w:rFonts w:ascii="Arial" w:cs="Arial" w:eastAsia="Arial" w:hAnsi="Arial"/>
                <w:sz w:val="24"/>
                <w:szCs w:val="24"/>
              </w:rPr>
              <w:t xml:space="preserve">Ассоциация кризисных центров,</w:t>
            </w:r>
          </w:p>
          <w:p>
            <w:pPr>
              <w:jc w:val="left"/>
            </w:pPr>
            <w:r>
              <w:rPr>
                <w:rFonts w:ascii="Arial" w:cs="Arial" w:eastAsia="Arial" w:hAnsi="Arial"/>
                <w:sz w:val="24"/>
                <w:szCs w:val="24"/>
              </w:rPr>
              <w:t xml:space="preserve">ПРООН,</w:t>
            </w:r>
          </w:p>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ЮНФПА</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МЧС и приютов в организации помощи по горячей линии для тех, кто пострадал от домашнего насилия/стигматизации/недостаточного доступа к финансовой и правовой информации (консультации также через чаты); привлечение адвокатов, работающих безвозмездно, для онлайн консультаций</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Срочно/деятельностьможет быть продолжен в посткризисный период</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Правительственный координатор по подсектору "Нарушения по признаку половой принадлежности",</w:t>
            </w:r>
          </w:p>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ЮНИСЕФ</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Правительству Кыргызской Республики в интеграции мер по смягчению последствий гендерного насилия в национальные планы реагирования на COVID-19 (можно привлечь трех экспертов для поддержания связи между национальными партнерами и партнерами из гражданского общества в целях выявления, картирования и смягчения рисков, связанных с COVID-19, и использования возможностей, включая выделение активов и ресурсов, для продолжения оказания критически важных услуг, расширения масштабов деятельности, связанной с предотвращением гендерного насилия и предоставлением соответствующих услуг)</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1,000,00</w:t>
            </w:r>
          </w:p>
          <w:p>
            <w:pPr>
              <w:jc w:val="left"/>
            </w:pPr>
            <w:r>
              <w:rPr>
                <w:rFonts w:ascii="Arial" w:cs="Arial" w:eastAsia="Arial" w:hAnsi="Arial"/>
                <w:sz w:val="24"/>
                <w:szCs w:val="24"/>
              </w:rPr>
              <w:t xml:space="preserve">ЮНФПА:</w:t>
            </w:r>
          </w:p>
          <w:p>
            <w:pPr>
              <w:jc w:val="left"/>
            </w:pPr>
            <w:r>
              <w:rPr>
                <w:rFonts w:ascii="Arial" w:cs="Arial" w:eastAsia="Arial" w:hAnsi="Arial"/>
                <w:sz w:val="24"/>
                <w:szCs w:val="24"/>
              </w:rPr>
              <w:t xml:space="preserve">3,000,00</w:t>
            </w:r>
          </w:p>
          <w:p>
            <w:pPr>
              <w:jc w:val="left"/>
            </w:pPr>
            <w:r>
              <w:rPr>
                <w:rFonts w:ascii="Arial" w:cs="Arial" w:eastAsia="Arial" w:hAnsi="Arial"/>
                <w:sz w:val="24"/>
                <w:szCs w:val="24"/>
              </w:rPr>
              <w:t xml:space="preserve">ЮНИСЕФ:</w:t>
            </w:r>
          </w:p>
          <w:p>
            <w:pPr>
              <w:jc w:val="left"/>
            </w:pPr>
            <w:r>
              <w:rPr>
                <w:rFonts w:ascii="Arial" w:cs="Arial" w:eastAsia="Arial" w:hAnsi="Arial"/>
                <w:sz w:val="24"/>
                <w:szCs w:val="24"/>
              </w:rPr>
              <w:t xml:space="preserve">2,000,00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ООН Женщины</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Сотрудничество с районными органами местного самоуправления (области и районы) в целях возобновления деятельности и мобилизации местных комитетов по предупреждению насилия в семье (КПНС) на основе активного привлечения женщин из населенных пунктов в сельской местности с помощью небольших грантов:</w:t>
            </w:r>
          </w:p>
          <w:p>
            <w:pPr>
              <w:jc w:val="left"/>
            </w:pPr>
            <w:r>
              <w:rPr>
                <w:rFonts w:ascii="Arial" w:cs="Arial" w:eastAsia="Arial" w:hAnsi="Arial"/>
                <w:sz w:val="24"/>
                <w:szCs w:val="24"/>
              </w:rPr>
              <w:t xml:space="preserve">г.Бишкек</w:t>
            </w:r>
          </w:p>
          <w:p>
            <w:pPr>
              <w:jc w:val="left"/>
            </w:pPr>
            <w:r>
              <w:rPr>
                <w:rFonts w:ascii="Arial" w:cs="Arial" w:eastAsia="Arial" w:hAnsi="Arial"/>
                <w:sz w:val="24"/>
                <w:szCs w:val="24"/>
              </w:rPr>
              <w:t xml:space="preserve">Ошская область: город Ош, Ноокатский, Араванский, Кара-Суйский районы;</w:t>
            </w:r>
          </w:p>
          <w:p>
            <w:pPr>
              <w:jc w:val="left"/>
            </w:pPr>
            <w:r>
              <w:rPr>
                <w:rFonts w:ascii="Arial" w:cs="Arial" w:eastAsia="Arial" w:hAnsi="Arial"/>
                <w:sz w:val="24"/>
                <w:szCs w:val="24"/>
              </w:rPr>
              <w:t xml:space="preserve">Джалал-Абадская область: город Джалал-Абад, Сузакский район;</w:t>
            </w:r>
          </w:p>
          <w:p>
            <w:pPr>
              <w:jc w:val="left"/>
            </w:pPr>
            <w:r>
              <w:rPr>
                <w:rFonts w:ascii="Arial" w:cs="Arial" w:eastAsia="Arial" w:hAnsi="Arial"/>
                <w:sz w:val="24"/>
                <w:szCs w:val="24"/>
              </w:rPr>
              <w:t xml:space="preserve">Баткенская область: город Кызыл-Кия;</w:t>
            </w:r>
          </w:p>
          <w:p>
            <w:pPr>
              <w:jc w:val="left"/>
            </w:pPr>
            <w:r>
              <w:rPr>
                <w:rFonts w:ascii="Arial" w:cs="Arial" w:eastAsia="Arial" w:hAnsi="Arial"/>
                <w:sz w:val="24"/>
                <w:szCs w:val="24"/>
              </w:rPr>
              <w:t xml:space="preserve">Иссык-Кульская область: Тюпский район;</w:t>
            </w:r>
          </w:p>
          <w:p>
            <w:pPr>
              <w:jc w:val="left"/>
            </w:pPr>
            <w:r>
              <w:rPr>
                <w:rFonts w:ascii="Arial" w:cs="Arial" w:eastAsia="Arial" w:hAnsi="Arial"/>
                <w:sz w:val="24"/>
                <w:szCs w:val="24"/>
              </w:rPr>
              <w:t xml:space="preserve">Таласская область: Кара-Бууринский район</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25,000,00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ООН Женщины</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МЗ в разработке руководства на 1-2 страницах для местных штабов по взаимодействию и сотрудничеству с женскими НПО, активистами и членами общин в целях совместного решения широкого круга вопросов</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ООН Женщины</w:t>
            </w:r>
          </w:p>
          <w:p>
            <w:pPr>
              <w:jc w:val="left"/>
            </w:pPr>
            <w:r>
              <w:rPr>
                <w:rFonts w:ascii="Arial" w:cs="Arial" w:eastAsia="Arial" w:hAnsi="Arial"/>
                <w:sz w:val="24"/>
                <w:szCs w:val="24"/>
              </w:rPr>
              <w:t xml:space="preserve">2,000,00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MOM</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Помощь оказавшимся в затруднительном положении мигрантам (мужчинам, женщинам, несовершеннолетним), застрявшим в аэропортах стран назначения</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УВКБ</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помощи, оказываемой беженцам и лицам, ищущим убежище, в целях обеспечения своевременной и необходимой для спасения жизни помощи с использованием надлежащих механизмов доставки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существующих средств</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УНП ООН</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Экспертная поддержка по стратегическому планированию пенитенциарной системы и разработка Руководства по обеспечению готовности, профилактике и контролю COVID-19 в тюрьмах</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УНП ООН</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срочной оценки риска для выявления тех, кто наиболее подвержен риску среди населения, отбывающего наказание, с учетом всех уязвимых групп</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УНП ООН</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администрации тюрьм в организации оборудования для проведения видеоконференций с целью создания системы дистанционного общения заключенных с родственниками/адвокатами</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УНП ООН</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ГСИН в создании центров наблюдения, реорганизации помещений и деятельности заключенных</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II-III кварталы 2020 года</w:t>
            </w:r>
          </w:p>
        </w:tc>
      </w:tr>
      <w:tr>
        <w:tc>
          <w:tcPr>
            <w:tcW w:type="dxa" w:w="1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МКК</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Регулярное посещение мест содержания под стражей для мониторинга условий содержания и оказание содействия в поддержании семейных контактов в соответствии с оценками потребностей</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r>
      <w:tr>
        <w:tc>
          <w:tcPr>
            <w:tcW w:type="dxa" w:w="593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607,000,00</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580,000,00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Образование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1"/>
        <w:gridCol w:w="2512"/>
        <w:gridCol w:w="3695"/>
      </w:tblGrid>
      <w:tr>
        <w:tc>
          <w:tcPr>
            <w:tcW w:type="dxa" w:w="397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НУЖДАЮЩИХСЯ ЛЮДЕЙ</w:t>
            </w:r>
          </w:p>
        </w:tc>
        <w:tc>
          <w:tcPr>
            <w:tcW w:type="dxa" w:w="251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ЦЕЛЕВАЯ ГРУППА</w:t>
            </w:r>
          </w:p>
        </w:tc>
        <w:tc>
          <w:tcPr>
            <w:tcW w:type="dxa" w:w="369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НЕОБХОДИМЫЕ СРЕДСТВА</w:t>
            </w:r>
          </w:p>
        </w:tc>
      </w:tr>
      <w:tr>
        <w:tc>
          <w:tcPr>
            <w:tcW w:type="dxa" w:w="3971"/>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2,5 млн.</w:t>
            </w:r>
          </w:p>
        </w:tc>
        <w:tc>
          <w:tcPr>
            <w:tcW w:type="dxa" w:w="2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 млн.</w:t>
            </w:r>
          </w:p>
        </w:tc>
        <w:tc>
          <w:tcPr>
            <w:tcW w:type="dxa" w:w="36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долл. США $626,600,00</w:t>
            </w:r>
          </w:p>
        </w:tc>
      </w:tr>
      <w:tr>
        <w:tc>
          <w:tcPr>
            <w:tcW w:type="dxa" w:w="3971"/>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Участники сектора и другие партнеры:</w:t>
            </w:r>
          </w:p>
          <w:p>
            <w:pPr>
              <w:jc w:val="left"/>
            </w:pPr>
            <w:r>
              <w:rPr>
                <w:rFonts w:ascii="Arial" w:cs="Arial" w:eastAsia="Arial" w:hAnsi="Arial"/>
                <w:sz w:val="24"/>
                <w:szCs w:val="24"/>
              </w:rPr>
              <w:t xml:space="preserve">ACTED, Азиатский банк развития (АБР), Организация Ага Хана по развитию в Кыргызской Республике, Американский университет в Центральной Азии (АУЦА), Представительство Европейского Союза (ЕС), Германское общество по международному сотрудничеству, Кыргызско-Турецкий университет Манас, Международная организация труда (МОТ), Верховный Комиссар по делам Национальных Меньшинств ОБСЕ (ВКНМ ОБСЕ), Фонд "Сорос-Кыргызстан", ООН Женщины, Организация ООН по образованию, науке и культуре (ЮНЕСКО), Детский фонд ООН (ЮНИСЕФ), Агентство США по международному развитию (USAID), Всемирный банк, Всемирная Продовольственная Программа ООН</w:t>
            </w:r>
          </w:p>
        </w:tc>
      </w:tr>
    </w:tbl>
    <w:p>
      <w:pPr>
        <w:spacing w:after="240" w:before="200"/>
        <w:jc w:val="center"/>
      </w:pPr>
      <w:r>
        <w:rPr>
          <w:rFonts w:ascii="Arial" w:cs="Arial" w:eastAsia="Arial" w:hAnsi="Arial"/>
          <w:b/>
          <w:bCs/>
          <w:sz w:val="32"/>
          <w:szCs w:val="32"/>
        </w:rPr>
        <w:t xml:space="preserve">Текущая ситуация в секторе</w:t>
      </w:r>
    </w:p>
    <w:p>
      <w:pPr>
        <w:spacing w:after="120"/>
        <w:jc w:val="both"/>
      </w:pPr>
      <w:r>
        <w:rPr>
          <w:rFonts w:ascii="Arial" w:cs="Arial" w:eastAsia="Arial" w:hAnsi="Arial"/>
          <w:sz w:val="24"/>
          <w:szCs w:val="24"/>
        </w:rPr>
        <w:t xml:space="preserve">В связи с риском завоза и распространения СОVID-19 в Кыргызской Республике Правительством Кыргызской Республики было принято решение о закрытии образовательных учреждений с 16 марта по 8 апреля 2020 г., включая период плановых весенних каникул с 21 по 31 марта. Кроме того, закрытие дошкольных учреждений и детских садов началось с 20 марта 2020 г. с введением режима чрезвычайной ситуации с 22 марта 2020 г. 27 марта 2020 г. МОН КР утвердил Антикризисный план с целью обеспечения непрерывного образовательного процесса для всех детей и успешного окончания академического года 2019-2020 путем введения инструментов дистанционного обучения. Настоящий План по оказанию помощи в секторе образования разработан на основе Антикризисного Плана Министерства образования и науки Кыргызской Республики.</w:t>
      </w:r>
    </w:p>
    <w:p>
      <w:pPr>
        <w:spacing w:after="240" w:before="200"/>
        <w:jc w:val="center"/>
      </w:pPr>
      <w:r>
        <w:rPr>
          <w:rFonts w:ascii="Arial" w:cs="Arial" w:eastAsia="Arial" w:hAnsi="Arial"/>
          <w:b/>
          <w:bCs/>
          <w:sz w:val="32"/>
          <w:szCs w:val="32"/>
        </w:rPr>
        <w:t xml:space="preserve">Задачи сектора</w:t>
      </w:r>
    </w:p>
    <w:p>
      <w:pPr>
        <w:spacing w:after="120"/>
        <w:jc w:val="both"/>
      </w:pPr>
      <w:r>
        <w:rPr>
          <w:rFonts w:ascii="Arial" w:cs="Arial" w:eastAsia="Arial" w:hAnsi="Arial"/>
          <w:sz w:val="24"/>
          <w:szCs w:val="24"/>
        </w:rPr>
        <w:t xml:space="preserve">Основная цель сектора образования состоит в обеспечении непрерывным обучением всех детей, начиная с дошкольного и заканчивая высшим уровнем образования, путем запуска различных инструментов дистанционного обучения, а также окончания академического года 2019-2020 к концу мая 2020 в соответствии с первоначальным графиком.</w:t>
      </w:r>
    </w:p>
    <w:p>
      <w:pPr>
        <w:spacing w:after="240" w:before="200"/>
        <w:jc w:val="center"/>
      </w:pPr>
      <w:r>
        <w:rPr>
          <w:rFonts w:ascii="Arial" w:cs="Arial" w:eastAsia="Arial" w:hAnsi="Arial"/>
          <w:b/>
          <w:bCs/>
          <w:sz w:val="32"/>
          <w:szCs w:val="32"/>
        </w:rPr>
        <w:t xml:space="preserve">Ожидаемые результаты</w:t>
      </w:r>
    </w:p>
    <w:p>
      <w:pPr>
        <w:spacing w:after="120"/>
        <w:jc w:val="both"/>
      </w:pPr>
      <w:r>
        <w:rPr>
          <w:rFonts w:ascii="Arial" w:cs="Arial" w:eastAsia="Arial" w:hAnsi="Arial"/>
          <w:sz w:val="24"/>
          <w:szCs w:val="24"/>
        </w:rPr>
        <w:t xml:space="preserve">309,000 детей дошкольного возраста продолжат учиться с помощью игровых средств дистанционного обучения.</w:t>
      </w:r>
    </w:p>
    <w:p>
      <w:pPr>
        <w:spacing w:after="120"/>
        <w:jc w:val="both"/>
      </w:pPr>
      <w:r>
        <w:rPr>
          <w:rFonts w:ascii="Arial" w:cs="Arial" w:eastAsia="Arial" w:hAnsi="Arial"/>
          <w:sz w:val="24"/>
          <w:szCs w:val="24"/>
        </w:rPr>
        <w:t xml:space="preserve">1,311,478 детей начальных и средних школ продолжат обучение с помощью инструментов дистанционного обучения.</w:t>
      </w:r>
    </w:p>
    <w:p>
      <w:pPr>
        <w:spacing w:after="120"/>
        <w:jc w:val="both"/>
      </w:pPr>
      <w:r>
        <w:rPr>
          <w:rFonts w:ascii="Arial" w:cs="Arial" w:eastAsia="Arial" w:hAnsi="Arial"/>
          <w:sz w:val="24"/>
          <w:szCs w:val="24"/>
        </w:rPr>
        <w:t xml:space="preserve">29,684 учащихся профессионально-технических учебных заведений продолжат процесс обучения с помощью инструментов дистанционного обучения.</w:t>
      </w:r>
    </w:p>
    <w:p>
      <w:pPr>
        <w:spacing w:after="120"/>
        <w:jc w:val="both"/>
      </w:pPr>
      <w:r>
        <w:rPr>
          <w:rFonts w:ascii="Arial" w:cs="Arial" w:eastAsia="Arial" w:hAnsi="Arial"/>
          <w:sz w:val="24"/>
          <w:szCs w:val="24"/>
        </w:rPr>
        <w:t xml:space="preserve">29,684 учащихся профессиональных технических учебных заведений продолжат процесс обучения с помощью инструментов дистанционного обучения.</w:t>
      </w:r>
    </w:p>
    <w:p>
      <w:pPr>
        <w:spacing w:after="120"/>
        <w:jc w:val="both"/>
      </w:pPr>
      <w:r>
        <w:rPr>
          <w:rFonts w:ascii="Arial" w:cs="Arial" w:eastAsia="Arial" w:hAnsi="Arial"/>
          <w:sz w:val="24"/>
          <w:szCs w:val="24"/>
        </w:rPr>
        <w:t xml:space="preserve">183,778 студентов высших учебных заведений продолжат процесс обучения с помощью инструментов дистанционного обучения.</w:t>
      </w:r>
    </w:p>
    <w:p>
      <w:pPr>
        <w:spacing w:after="120"/>
        <w:jc w:val="both"/>
      </w:pPr>
      <w:r>
        <w:rPr>
          <w:rFonts w:ascii="Arial" w:cs="Arial" w:eastAsia="Arial" w:hAnsi="Arial"/>
          <w:sz w:val="24"/>
          <w:szCs w:val="24"/>
        </w:rPr>
        <w:t xml:space="preserve">110,126 преподавателей образовательных учреждений всех уровней повысят квалификацию в обеспечении и мониторинга процесса дистанционного обучения.</w:t>
      </w:r>
    </w:p>
    <w:p>
      <w:pPr>
        <w:spacing w:after="120"/>
        <w:jc w:val="both"/>
      </w:pPr>
      <w:r>
        <w:rPr>
          <w:rFonts w:ascii="Arial" w:cs="Arial" w:eastAsia="Arial" w:hAnsi="Arial"/>
          <w:sz w:val="24"/>
          <w:szCs w:val="24"/>
        </w:rPr>
        <w:t xml:space="preserve">Примерно 500,000 родителей/опекунов получат рекомендации о том, как эффективно проводить время с детьми дома.</w:t>
      </w:r>
    </w:p>
    <w:p>
      <w:pPr>
        <w:spacing w:after="240" w:before="200"/>
        <w:jc w:val="center"/>
      </w:pPr>
      <w:r>
        <w:rPr>
          <w:rFonts w:ascii="Arial" w:cs="Arial" w:eastAsia="Arial" w:hAnsi="Arial"/>
          <w:b/>
          <w:bCs/>
          <w:sz w:val="32"/>
          <w:szCs w:val="32"/>
        </w:rPr>
        <w:t xml:space="preserve">Мероприятия сектора и бюджет</w:t>
      </w:r>
    </w:p>
    <w:p>
      <w:pPr>
        <w:spacing w:after="120"/>
        <w:jc w:val="both"/>
      </w:pPr>
      <w:r>
        <w:rPr>
          <w:rFonts w:ascii="Arial" w:cs="Arial" w:eastAsia="Arial" w:hAnsi="Arial"/>
          <w:sz w:val="24"/>
          <w:szCs w:val="24"/>
        </w:rPr>
        <w:t xml:space="preserve">В целях поддержки прилагаемого Антикризисного плана, утвержденного Министерством образования и науки Кыргызской Республики, сектор образования планирует следующие меры по оказанию поддержки.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7"/>
        <w:gridCol w:w="1366"/>
        <w:gridCol w:w="1148"/>
        <w:gridCol w:w="1360"/>
        <w:gridCol w:w="2067"/>
      </w:tblGrid>
      <w:tr>
        <w:tc>
          <w:tcPr>
            <w:tcW w:type="dxa" w:w="42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c>
          <w:tcPr>
            <w:tcW w:type="dxa" w:w="13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Необходимые средства (долл. США)</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в наличии (долл. США)</w:t>
            </w:r>
          </w:p>
        </w:tc>
        <w:tc>
          <w:tcPr>
            <w:tcW w:type="dxa" w:w="13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Недостающие средства (долл. США)</w:t>
            </w:r>
          </w:p>
        </w:tc>
        <w:tc>
          <w:tcPr>
            <w:tcW w:type="dxa" w:w="20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финансирования</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Поддержать МОН в планировании, координации и реализации мероприятий в сфере образования в связи с чрезвычайной ситуацией (включая Отдел по координации стихийных бедствий (ОКСБ) и Координационный совет партнеров по развитию (КСПП))</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Провести быструю оценку потребностей для выявления детей, учащихся и их родителей, не имеющих доступа к платформам дистанционного образования, с целью определения наиболее уязвимых домохозяйств</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ACTED, 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Закупить необходимое оборудование (такие, как телефоны, планшеты) на основе результатов быстрой оценки потребностей, (мероприятие 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ACTED</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детей дошкольного возраста обеспечить доступ к обучению с элементами развлечения (образование плюс развлечение) с помощью телевизионного контента, а также информировать родителей о мероприятиях по развитию в раннем возрасте для детей, находящихся дома</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видео-уроки для детей школьного возраста на русском и кыргызском языках с субтитрами на узбекском и таджикском языках и переводом на язык жестов для вещания на национальных ТВ каналах с 8 апреля до 29 мая 2020 г.</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"Сорос-Кыргызстан"</w:t>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Кыргызско-Турецкий университет Манас</w:t>
            </w:r>
          </w:p>
        </w:tc>
      </w:tr>
      <w:tr>
        <w:tc>
          <w:tcPr>
            <w:tcW w:type="dxa" w:w="423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платформы и курсы онлайн обучения для студентов ПТО и высших учебных заведений</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GIZ Региональная программа "Профессиональное образование в Центральной Азии"</w:t>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ЮНЕСКО</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инструкции и видео обучающие материалы для учителей школ и ПТО о том, как преподавать и проводить процесс обучения в дистанционном формате, также использовать онлайн платформы для получения обратной связи от учеников (ZOOM, WhatsApp и т.д.)</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платформы и контент дистанционного обучения с помощью интернета для общеобразовательных школ и ПТО на местных языках по предметам/курсам для всех детей и молодежи, включая учащихся с ограниченными возможностями в соответствии с образовательными планами, утвержденными на период с 8 апреля до 29 мая 2020 г.</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инструменты дистанционной оценки: 1) для учеников начальных и средних классов в 8 приоритетных предметах (математика, химия, биология, география, кыргызский язык, русский язык, узбекский язык, английский язык, история), 2) для учеников начальных школ: основы естествознания, математика, родной язык)</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r>
      <w:tr>
        <w:tc>
          <w:tcPr>
            <w:tcW w:type="dxa" w:w="423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инструменты и распространить руководство для администраций и учителей общеобразовательных средних школ и ПТО по диагностированию и оценке в дистанционном формате</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 (школьный уровень)</w:t>
            </w:r>
          </w:p>
        </w:tc>
      </w:tr>
      <w:tr>
        <w:tc>
          <w:tcPr>
            <w:vMerge w:val="continue"/>
            <w:tcBorders>
              <w:top w:val="none" w:color="auto" w:sz="0"/>
              <w:left w:val="single" w:color="CBBF9E" w:sz="4"/>
              <w:bottom w:val="single" w:color="CBBF9E" w:sz="4"/>
              <w:right w:val="single" w:color="CBBF9E" w:sz="4"/>
            </w:tcBorders>
          </w:tcP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Оказать поддержку Республиканскому институту повышения квалификации в разработке и реализации смешанного обучения на основе модулей педагогической подготовки</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Ага Хана по развитию в Кыргызской Республике</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Оказать поддержку специальным школам и их учителям с целью предоставления возможностей непрерывного обучения для детей с ограниченными возможностями в дистанционном формате, а также с помощью родителей и опекунов</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короткие видео для детей о том, как выявлять и сообщать о случаях насилия дома, которые будут размещены на платформах электронного обучения МОН</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Разработать обучающие материалы по гигиене (например, видео, инфо-графика) и рекомендации/видео инструкции по дезинфекции в учреждениях дошкольного и среднего образования</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Обеспечить меры инфекционного контроля и необходимые средства для мытья рук для учреждений дошкольного, начального и среднего образования, а также ПТО до их открытия</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w:t>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Оказать коммуникационную и медиа-поддержку МОН и партнерам в реализации мероприятий в секторе образования</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$626,600,00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$261,600,00</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$365,000,00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Раннее восстановление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1"/>
        <w:gridCol w:w="2512"/>
        <w:gridCol w:w="3695"/>
      </w:tblGrid>
      <w:tr>
        <w:tc>
          <w:tcPr>
            <w:tcW w:type="dxa" w:w="397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НУЖДАЮЩИХСЯ ЛЮДЕЙ</w:t>
            </w:r>
          </w:p>
        </w:tc>
        <w:tc>
          <w:tcPr>
            <w:tcW w:type="dxa" w:w="2512"/>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ЦЕЛЕВАЯ ГРУППА</w:t>
            </w:r>
          </w:p>
        </w:tc>
        <w:tc>
          <w:tcPr>
            <w:tcW w:type="dxa" w:w="369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НЕОБХОДИМЫЕ СРЕДСТВА</w:t>
            </w:r>
          </w:p>
        </w:tc>
      </w:tr>
      <w:tr>
        <w:tc>
          <w:tcPr>
            <w:tcW w:type="dxa" w:w="3971"/>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1,8 млн.</w:t>
            </w:r>
          </w:p>
        </w:tc>
        <w:tc>
          <w:tcPr>
            <w:tcW w:type="dxa" w:w="2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620100</w:t>
            </w:r>
          </w:p>
        </w:tc>
        <w:tc>
          <w:tcPr>
            <w:tcW w:type="dxa" w:w="36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долл. США 18,864,000,00</w:t>
            </w:r>
          </w:p>
        </w:tc>
      </w:tr>
      <w:tr>
        <w:tc>
          <w:tcPr>
            <w:tcW w:type="dxa" w:w="3971"/>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Участники сектора и другие партнеры:</w:t>
            </w:r>
          </w:p>
          <w:p>
            <w:pPr>
              <w:jc w:val="left"/>
            </w:pPr>
            <w:r>
              <w:rPr>
                <w:rFonts w:ascii="Arial" w:cs="Arial" w:eastAsia="Arial" w:hAnsi="Arial"/>
                <w:sz w:val="24"/>
                <w:szCs w:val="24"/>
              </w:rPr>
              <w:t xml:space="preserve">Министерство экономики КР, Министерство труда и социального развития КР, Программа развития ООН, ACTED, Детский фонд ООН, Всемирная продовольственная программа ООН, Международная организация по миграции, Продовольственная и сельскохозяйственная организация ООН (ФАО), Азиатский Банк Развития, Хельветас, Организация Ага Хана по развитию в Кыргызской Республике</w:t>
            </w:r>
          </w:p>
        </w:tc>
      </w:tr>
    </w:tbl>
    <w:p>
      <w:pPr>
        <w:spacing w:after="120"/>
        <w:jc w:val="both"/>
      </w:pPr>
      <w:r>
        <w:rPr>
          <w:rFonts w:ascii="Arial" w:cs="Arial" w:eastAsia="Arial" w:hAnsi="Arial"/>
          <w:sz w:val="24"/>
          <w:szCs w:val="24"/>
        </w:rPr>
        <w:t xml:space="preserve">Концепция раннего восстановления направлена на выработку устойчивых процессов на основе мобилизации собственных ресурсов государства, путем стимулирования возможностей для достижения устойчивого развития. Нынешний кризис, вызванный COVID-19, подорвал существующие системы и принципы получения доступа к основным услугам, привычный уклад жизнеобеспечения, создавая нагрузку на систему безопасности, верховенства закона, социальную сплоченность и окружающую среду. Меры по раннему восстановлению, разработанные на основе проведенного социально-экономического анализа и других оценок потребностей, также основанных на дизагрегации данных по полу и возрасту, будут использованы для придания большей устойчивости прогресса, уже достигнутого в рамках реализации Целей устойчивого развития (ЦУР), а также на оказание быстрой поддержки по смягчению удара на уязвимые группы населения, которые, в связи с COVID-19, потеряли привычные источники к существованию. Данная программа предусматривает оказание поддержки в раннем восстановлении по четырем сферам деятельности:</w:t>
      </w:r>
    </w:p>
    <w:p>
      <w:pPr>
        <w:spacing w:after="120"/>
        <w:jc w:val="both"/>
      </w:pPr>
      <w:r>
        <w:rPr>
          <w:rFonts w:ascii="Arial" w:cs="Arial" w:eastAsia="Arial" w:hAnsi="Arial"/>
          <w:sz w:val="24"/>
          <w:szCs w:val="24"/>
        </w:rPr>
        <w:t xml:space="preserve">1. Доступ к основным услугам.</w:t>
      </w:r>
    </w:p>
    <w:p>
      <w:pPr>
        <w:spacing w:after="120"/>
        <w:jc w:val="both"/>
      </w:pPr>
      <w:r>
        <w:rPr>
          <w:rFonts w:ascii="Arial" w:cs="Arial" w:eastAsia="Arial" w:hAnsi="Arial"/>
          <w:sz w:val="24"/>
          <w:szCs w:val="24"/>
        </w:rPr>
        <w:t xml:space="preserve">2. Возобновление экономической деятельности и восстановление средств к существованию.</w:t>
      </w:r>
    </w:p>
    <w:p>
      <w:pPr>
        <w:spacing w:after="120"/>
        <w:jc w:val="both"/>
      </w:pPr>
      <w:r>
        <w:rPr>
          <w:rFonts w:ascii="Arial" w:cs="Arial" w:eastAsia="Arial" w:hAnsi="Arial"/>
          <w:sz w:val="24"/>
          <w:szCs w:val="24"/>
        </w:rPr>
        <w:t xml:space="preserve">3. Безопасность, верховенство права и социальная сплоченность.</w:t>
      </w:r>
    </w:p>
    <w:p>
      <w:pPr>
        <w:spacing w:after="120"/>
        <w:jc w:val="both"/>
      </w:pPr>
      <w:r>
        <w:rPr>
          <w:rFonts w:ascii="Arial" w:cs="Arial" w:eastAsia="Arial" w:hAnsi="Arial"/>
          <w:sz w:val="24"/>
          <w:szCs w:val="24"/>
        </w:rPr>
        <w:t xml:space="preserve">4. Поддержка мигрантов и вынужденных переселенцев, пострадавших от кризиса.</w:t>
      </w:r>
    </w:p>
    <w:p>
      <w:pPr>
        <w:spacing w:after="240" w:before="200"/>
        <w:jc w:val="center"/>
      </w:pPr>
      <w:r>
        <w:rPr>
          <w:rFonts w:ascii="Arial" w:cs="Arial" w:eastAsia="Arial" w:hAnsi="Arial"/>
          <w:b/>
          <w:bCs/>
          <w:sz w:val="32"/>
          <w:szCs w:val="32"/>
        </w:rPr>
        <w:t xml:space="preserve">Текущая ситуация в секторе</w:t>
      </w:r>
    </w:p>
    <w:p>
      <w:pPr>
        <w:spacing w:after="120"/>
        <w:jc w:val="both"/>
      </w:pPr>
      <w:r>
        <w:rPr>
          <w:rFonts w:ascii="Arial" w:cs="Arial" w:eastAsia="Arial" w:hAnsi="Arial"/>
          <w:sz w:val="24"/>
          <w:szCs w:val="24"/>
        </w:rPr>
        <w:t xml:space="preserve">В связи со вспышкой COVID-19 и мерами, предпринятыми по предотвращению распространения инфекции, такими как введение режима карантина и ограничений торговли и передвижения, граждане лишены возможности доступа к некоторым основным государственным услугам, а также проведение таких общественных мероприятий, как местные выборы, отложены. Ключевым фактором эффективного восстановления является своевременное возобновление доступа к получению основных услуг и восстановление системы управления. При этом важно, чтобы меры реагирования не явились источником негативного воздействия на окружающую среду, а также необходимо эффективно решать вопросы утилизации медицинских отходов. Глобальные экономические факторы и, в особенности, экономический спад в Республике Казахстан и Российской Федерации могут потенциально усугубить экономический шок Кыргызстана от COVID-19. Кризис уже нанес урон экономической стабильности, наблюдается отрицательное влияние роста цен на продукты питания и горюче-смазочные материалы, дефицит медикаментов и медицинских препаратов, рост безработицы и снижение объема денежных переводов (в настоящее время это 30% ВВП). Резкое обесценение кыргызского сома на более чем 10% за последнюю неделю привело к снижению покупательской способности. Необходимы более активные действия для обеспечения защиты доходов и стимулирования экономики для быстрого ее восстановления. Закрытие границ, социальные и экономические потрясения могут дополнительно усилить трансграничную напряженность. Обеспечение населения производством, которое оказалось безработной в силу карантина, особенно молодежи, укрепление ценности сообщества и всеобщее единение являются ключевыми факторами для смягчения негативных последствий кризиса от COVID-19. Мигрантам, которые возвращаются без работы и источника дохода, нужна поддержка в реинтеграции их с сообществом, а также их семьям в преодолении трудностей. Мероприятия по раннему восстановлению, с учетом специфики данного кризиса, разработаны на основе первоначально имеющейся информации, которые будут усовершенствованы на основании результатов оценки, проводимой совместно с Министерством экономики Кыргызской Республики в сотрудничестве с другими ключевыми партнерами. Они также фокусируются на неотложных и краткосрочных потребностях в скорейшем восстановлении, в то время как в рамках данного сектора продолжается более широкое обсуждение долгосрочного восстановления. Ожидается, что новые партнеры, в том числе от других учреждений ООН и партнеров по развитию, также присоединятся к данному плану.</w:t>
      </w:r>
    </w:p>
    <w:p>
      <w:pPr>
        <w:spacing w:after="240" w:before="200"/>
        <w:jc w:val="center"/>
      </w:pPr>
      <w:r>
        <w:rPr>
          <w:rFonts w:ascii="Arial" w:cs="Arial" w:eastAsia="Arial" w:hAnsi="Arial"/>
          <w:b/>
          <w:bCs/>
          <w:sz w:val="32"/>
          <w:szCs w:val="32"/>
        </w:rPr>
        <w:t xml:space="preserve">Задачи сектора</w:t>
      </w:r>
    </w:p>
    <w:p>
      <w:pPr>
        <w:spacing w:after="120"/>
        <w:jc w:val="both"/>
      </w:pPr>
      <w:r>
        <w:rPr>
          <w:rFonts w:ascii="Arial" w:cs="Arial" w:eastAsia="Arial" w:hAnsi="Arial"/>
          <w:sz w:val="24"/>
          <w:szCs w:val="24"/>
        </w:rPr>
        <w:t xml:space="preserve">Целью данного сектора является объединение усилий по восстановлению систем предоставления основных услуг, источников средств к существованию, усиления системы управления, безопасности и верховенства закона, социальной сплоченности, включая реинтеграцию уязвимых групп населения. План реагирования на заблаговременное восстановление способствует реализации правительственного антикризисного плана, а усилия по координации будут также способствовать поддержке правительства в обеспечении согласованности между различными планами.</w:t>
      </w:r>
    </w:p>
    <w:p>
      <w:pPr>
        <w:spacing w:after="240" w:before="200"/>
        <w:jc w:val="center"/>
      </w:pPr>
      <w:r>
        <w:rPr>
          <w:rFonts w:ascii="Arial" w:cs="Arial" w:eastAsia="Arial" w:hAnsi="Arial"/>
          <w:b/>
          <w:bCs/>
          <w:sz w:val="32"/>
          <w:szCs w:val="32"/>
        </w:rPr>
        <w:t xml:space="preserve">Ожидаемые результаты</w:t>
      </w:r>
    </w:p>
    <w:p>
      <w:pPr>
        <w:spacing w:after="120"/>
        <w:jc w:val="both"/>
      </w:pPr>
      <w:r>
        <w:rPr>
          <w:rFonts w:ascii="Arial" w:cs="Arial" w:eastAsia="Arial" w:hAnsi="Arial"/>
          <w:sz w:val="24"/>
          <w:szCs w:val="24"/>
        </w:rPr>
        <w:t xml:space="preserve">Улучшение доступа к получению основных услуг.</w:t>
      </w:r>
    </w:p>
    <w:p>
      <w:pPr>
        <w:spacing w:after="120"/>
        <w:jc w:val="both"/>
      </w:pPr>
      <w:r>
        <w:rPr>
          <w:rFonts w:ascii="Arial" w:cs="Arial" w:eastAsia="Arial" w:hAnsi="Arial"/>
          <w:sz w:val="24"/>
          <w:szCs w:val="24"/>
        </w:rPr>
        <w:t xml:space="preserve">Возобновление экономической деятельности и восстановление источников средств к существованию.</w:t>
      </w:r>
    </w:p>
    <w:p>
      <w:pPr>
        <w:spacing w:after="120"/>
        <w:jc w:val="both"/>
      </w:pPr>
      <w:r>
        <w:rPr>
          <w:rFonts w:ascii="Arial" w:cs="Arial" w:eastAsia="Arial" w:hAnsi="Arial"/>
          <w:sz w:val="24"/>
          <w:szCs w:val="24"/>
        </w:rPr>
        <w:t xml:space="preserve">Улучшение положения в области безопасности, верховенства закона, а также укрепление социальной сплоченности.</w:t>
      </w:r>
    </w:p>
    <w:p>
      <w:pPr>
        <w:spacing w:after="120"/>
        <w:jc w:val="both"/>
      </w:pPr>
      <w:r>
        <w:rPr>
          <w:rFonts w:ascii="Arial" w:cs="Arial" w:eastAsia="Arial" w:hAnsi="Arial"/>
          <w:sz w:val="24"/>
          <w:szCs w:val="24"/>
        </w:rPr>
        <w:t xml:space="preserve">Повышение адаптивных возможностей мигрантов и вынужденных переселенцев.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Мероприятия сектора и бюджет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2"/>
        <w:gridCol w:w="2848"/>
        <w:gridCol w:w="1046"/>
        <w:gridCol w:w="1588"/>
        <w:gridCol w:w="1486"/>
        <w:gridCol w:w="564"/>
        <w:gridCol w:w="564"/>
      </w:tblGrid>
      <w:tr>
        <w:tc>
          <w:tcPr>
            <w:tcW w:type="dxa" w:w="20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w:t>
            </w:r>
          </w:p>
        </w:tc>
        <w:tc>
          <w:tcPr>
            <w:tcW w:type="dxa" w:w="28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c>
          <w:tcPr>
            <w:tcW w:type="dxa" w:w="10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в наличии (долл. США)</w:t>
            </w:r>
          </w:p>
        </w:tc>
        <w:tc>
          <w:tcPr>
            <w:tcW w:type="dxa" w:w="15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Недостающие средства (долл. США)</w:t>
            </w:r>
          </w:p>
        </w:tc>
        <w:tc>
          <w:tcPr>
            <w:tcW w:type="dxa" w:w="14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финансирования</w:t>
            </w:r>
          </w:p>
        </w:tc>
        <w:tc>
          <w:tcPr>
            <w:tcW w:type="dxa" w:w="11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Примерные сроки</w:t>
            </w:r>
          </w:p>
        </w:tc>
      </w:tr>
      <w:tr>
        <w:tc>
          <w:tcPr>
            <w:tcW w:type="dxa" w:w="208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Оценка потребностей/воздействия</w:t>
            </w: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Оценка социально-экономических потребностей и воздействия COVID-19 при участии национальных стейкхолдеров проведение оценки воздействия на бизнес, секторы экономики и цепочку добавленной стоимости, социальную защиту, охрану окружающей среды, выборы, дискриминацию, трансграничные вопросы в наиболее подверженных участках. Особое внимание будет уделяться воздействию на уязвимые группы населения и по итогам оценки будут выработаны рекомендации для разработки и принятия соответствующих интервенций.</w:t>
            </w:r>
          </w:p>
          <w:p>
            <w:pPr>
              <w:jc w:val="left"/>
            </w:pPr>
            <w:r>
              <w:rPr>
                <w:rFonts w:ascii="Arial" w:cs="Arial" w:eastAsia="Arial" w:hAnsi="Arial"/>
                <w:sz w:val="24"/>
                <w:szCs w:val="24"/>
              </w:rPr>
              <w:t xml:space="preserve">Анализ потенциального влияния COVID-19 на мелкомасштабную фермерскую деятельность с целью оценить устойчивость сельскохозяйственного производства, для выработки последующих мер по смягчению рисков в вопросах продовольственной безопасности в среднесрочном периоде и восстановить бизнес и возможности для занятости</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АБР, ФАО</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Оценка воздействия COVID-19 на секторы и население. Оценка потребностей пострадавшего и уязвимого населения (фермерские хозяйства, сельское бедное население, семьи мигрантов, мелкий, малый и средний бизнес) после вспышки COVID-19. Среднесрочная оценка социально-экономического ущерба и его последствий (экономические потери изменения в сфере оказания услуг, управления и риски, вызванные COVID-19), с учетом факторов воздействия на сбор данных о половой принадлежности, возрастной категории и лиц с ограниченными возможностями, а также основных приоритетов с точки зрения восстановления и дальнейшего развития человеческого потенциала. Результаты оценки воздействия будут доведены до сведения национальных партнеров и страновой программы ООН</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Профинансировано</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ACTED</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Консультация с Правительством Кыргызской Республики и участие (картирование сектора раннего восстановления в 3W).</w:t>
            </w:r>
          </w:p>
          <w:p>
            <w:pPr>
              <w:jc w:val="left"/>
            </w:pPr>
            <w:r>
              <w:rPr>
                <w:rFonts w:ascii="Arial" w:cs="Arial" w:eastAsia="Arial" w:hAnsi="Arial"/>
                <w:sz w:val="24"/>
                <w:szCs w:val="24"/>
              </w:rPr>
              <w:t xml:space="preserve">Обеспечение непрерывной координации между Правительством Кыргызской Республики и партнерами по развитию. Проведение информационно-разъяснительной работы, анализ данных и диалог с Правительством и партнерами в целях эффективной координации и принятия мер</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Профинансировано</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ACTED/ПРООН</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деятельность</w:t>
            </w:r>
          </w:p>
        </w:tc>
      </w:tr>
      <w:tr>
        <w:tc>
          <w:tcPr>
            <w:tcW w:type="dxa" w:w="208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Доступ к получению услуг</w:t>
            </w: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Оказание поддержки Правительству для обеспечения непрерывного доступа к основным государственных услугам во время возможных сбоев, связанных с COVID-19.</w:t>
            </w:r>
          </w:p>
          <w:p>
            <w:pPr>
              <w:jc w:val="left"/>
            </w:pPr>
            <w:r>
              <w:rPr>
                <w:rFonts w:ascii="Arial" w:cs="Arial" w:eastAsia="Arial" w:hAnsi="Arial"/>
                <w:sz w:val="24"/>
                <w:szCs w:val="24"/>
              </w:rPr>
              <w:t xml:space="preserve">Обеспечить доступ уязвимых групп населения к основным государственным услугам (выдача документов, почтовые услуги, официальная регистрация, доступ юридической информации для пострадавших бизнес структур) с применением цифровых решений, например, платформы "Тундук"</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ACTED/ПРООН</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деятельность</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Меры по расширению доступа к получению качественной информации</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Создание интегрированной мультимедийной общественной цифровой платформы в целях распространения информации о политике и существующих возможностях по оказанию поддержки в восстановлении. Поддержка цифровых инноваций в рамках COVID-19 для обмена информацией, разъяснительной работы и создания сети с фокусом на вовлечение предпринимателей</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Профинансировано</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ЕБРР</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Меры по поддержке Центральной Избирательной Комиссии (ЦИК) и управление риском COVID-19 во время выборов. Предоставление информации и материалов о специальных защитных мерах, которые будут применяться на избирательных участках, и соответствующих процедурах в день выборов, должны быть размещены на 2500 и более избирательных участках. Данное мероприятие будет реализовано в рамках поддержки Правительства в проведении выборов.</w:t>
            </w:r>
          </w:p>
          <w:p>
            <w:pPr>
              <w:jc w:val="left"/>
            </w:pPr>
            <w:r>
              <w:rPr>
                <w:rFonts w:ascii="Arial" w:cs="Arial" w:eastAsia="Arial" w:hAnsi="Arial"/>
                <w:sz w:val="24"/>
                <w:szCs w:val="24"/>
              </w:rPr>
              <w:t xml:space="preserve">Предоставление средств индивидуальной защиты (СИЗ) от COVID-19 и санитарно-гигиенических принадлежностей для 25000 работников избирательных участков</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процессе переговоров</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Потенциально Правительство Швейцарии</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Утилизация медицинских и немедицинских отходов.</w:t>
            </w:r>
          </w:p>
          <w:p>
            <w:pPr>
              <w:jc w:val="left"/>
            </w:pPr>
            <w:r>
              <w:rPr>
                <w:rFonts w:ascii="Arial" w:cs="Arial" w:eastAsia="Arial" w:hAnsi="Arial"/>
                <w:sz w:val="24"/>
                <w:szCs w:val="24"/>
              </w:rPr>
              <w:t xml:space="preserve">При участии ВОЗ и национальных партнеров, разработка или обновление стандартных операционных процедур по утилизации медицинских и немедицинских отходов.</w:t>
            </w:r>
          </w:p>
          <w:p>
            <w:pPr>
              <w:jc w:val="left"/>
            </w:pPr>
            <w:r>
              <w:rPr>
                <w:rFonts w:ascii="Arial" w:cs="Arial" w:eastAsia="Arial" w:hAnsi="Arial"/>
                <w:sz w:val="24"/>
                <w:szCs w:val="24"/>
              </w:rPr>
              <w:t xml:space="preserve">Оказание технической помощи и улучшение системы хранения и сбора медицинских и немедицинских отходов для последующей их ликвидации</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208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Возобновление экономической деятельности и восстановление средств к существованию</w:t>
            </w: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Оказание поддержки уязвимым домохозяйствам с предоставлением возможности трудоустройства и самозанятости, и обеспечение выхода на местный и международные рынки на основе результатов оценки и существующих механизмов, предоставить небольшие инвестиции в поддержку предпринимательства для производства продукции, пользующейся спросом в посткризисный период, с акцентом создания рабочих мест для безработных. Это может включать повышение потенциала фермеров по вопросам производства, хранения и обработки сельскохозяйственной продукции, поддержку женских групп в организации доходоприносящей деятельности, организацию местного производства на дому для наиболее уязвимых групп населения и обеспечение поставок на местный рынок, поддержка местных транспортных компаний для обеспечения доставки продукции на рынки, улучшение политики занятости</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ACTED, Хельветас, Организация Ага Хана по развитию в Кыргызской Республике, ПРООН, ФАО, МОТ, ВПП, ЕЛ, Швейцария</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Меры, направленные на повышение занятости и развитие устойчивой экономический деятельности.</w:t>
            </w:r>
          </w:p>
          <w:p>
            <w:pPr>
              <w:jc w:val="left"/>
            </w:pPr>
            <w:r>
              <w:rPr>
                <w:rFonts w:ascii="Arial" w:cs="Arial" w:eastAsia="Arial" w:hAnsi="Arial"/>
                <w:sz w:val="24"/>
                <w:szCs w:val="24"/>
              </w:rPr>
              <w:t xml:space="preserve">Оказание поддержки мелким фермерам в создании собственных малых предприятий по переработке сельскохозяйственной продукции с учетом добавленной стоимости с целью сокращения потерь, связанных с ограничением передвижения и сбоев в работе рынка, в том числе с помощью социального контракта. Предоставление технической поддержки мелким фермерам и сельским домохозяйствам в течение нового сельскохозяйственного сезона (распределение семян, удобрений, обучение передовым методам и технологиям и консультации). Расширение доступа к финансированию для МСБ с помощью улучшения системы банковского кредитования в координации с Правительством. Сегментирование возможностей финансирования для кредиторов/инвесторов по типам (стартапы, увеличение масштабов, реструктуризация) и обеспечение соответствующего финансирования для каждого типа.</w:t>
            </w:r>
          </w:p>
          <w:p>
            <w:pPr>
              <w:jc w:val="left"/>
            </w:pPr>
            <w:r>
              <w:rPr>
                <w:rFonts w:ascii="Arial" w:cs="Arial" w:eastAsia="Arial" w:hAnsi="Arial"/>
                <w:sz w:val="24"/>
                <w:szCs w:val="24"/>
              </w:rPr>
              <w:t xml:space="preserve">Оказание помощи в разработке политики, направленной на облегчение условий работы малого и среднего бизнеса, парламентский мониторинг исполнения текущей политики Правительством и гражданским обществом по введению налоговых каникул, продления сроков выплаты обязательных платежей государственным учреждениям, банкам, микрокредитным организациям.</w:t>
            </w:r>
          </w:p>
          <w:p>
            <w:pPr>
              <w:jc w:val="left"/>
            </w:pPr>
            <w:r>
              <w:rPr>
                <w:rFonts w:ascii="Arial" w:cs="Arial" w:eastAsia="Arial" w:hAnsi="Arial"/>
                <w:sz w:val="24"/>
                <w:szCs w:val="24"/>
              </w:rPr>
              <w:t xml:space="preserve">Повышение потенциала банков по расширению доступа к кредитным возможностям для получения выгоды от различных стимулирующих схем</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МОМ, ФАО, МОТ, ВПП, ЕК, Швейцария, Хельветас</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технологических/цифровых решений для повышения навыков МСБ в сотрудничестве с бизнес ассоциациями. Программы обучения базовым навыкам и программы "оплата за работу", направленные на улучшение основных услуг, не связанных со здоровьем, нарушенных требуемой мерой COVID-19 (с акцентом на установку энергоэффективных материалов в общественных зданиях, доступ к электричеству, воде и выполнение плана "зеленой экономики") улучшение участия сообщества и мобилизация ресурсов сообщества для коллективных усилий по восстановлению</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ВПП, Всемирный Банк, Швейцария</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Улучшить возможности онлайн-обучения молодежи и взрослых для развития навыков (особенно в области деловых навыков, цифровой и зеленой экономики).</w:t>
            </w:r>
          </w:p>
          <w:p>
            <w:pPr>
              <w:jc w:val="left"/>
            </w:pPr>
            <w:r>
              <w:rPr>
                <w:rFonts w:ascii="Arial" w:cs="Arial" w:eastAsia="Arial" w:hAnsi="Arial"/>
                <w:sz w:val="24"/>
                <w:szCs w:val="24"/>
              </w:rPr>
              <w:t xml:space="preserve">Предоставлять стимулы (денежные или продовольственные) участникам учебных проектов. Организация онлайн учебных курсов для содействия занятости.</w:t>
            </w:r>
          </w:p>
          <w:p>
            <w:pPr>
              <w:jc w:val="left"/>
            </w:pPr>
            <w:r>
              <w:rPr>
                <w:rFonts w:ascii="Arial" w:cs="Arial" w:eastAsia="Arial" w:hAnsi="Arial"/>
                <w:sz w:val="24"/>
                <w:szCs w:val="24"/>
              </w:rPr>
              <w:t xml:space="preserve">Создание платформы для дальнейшего обучения тех, кто не имеет работы, с целью приобретения новых навыков, ориентированных на различные сектора и уровни образования</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ВПП</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Меры по сокращению дефолта/неплатежеспособности (например, техническая поддержка и рекомендации по выработке политики).</w:t>
            </w:r>
          </w:p>
          <w:p>
            <w:pPr>
              <w:jc w:val="left"/>
            </w:pPr>
            <w:r>
              <w:rPr>
                <w:rFonts w:ascii="Arial" w:cs="Arial" w:eastAsia="Arial" w:hAnsi="Arial"/>
                <w:sz w:val="24"/>
                <w:szCs w:val="24"/>
              </w:rPr>
              <w:t xml:space="preserve">Технический анализ воздействия и рекомендации Правительству Кыргызской Республики в целях сокращения долговых обязательств/неплатежеспособности вследствие COVID-19.</w:t>
            </w:r>
          </w:p>
          <w:p>
            <w:pPr>
              <w:jc w:val="left"/>
            </w:pPr>
            <w:r>
              <w:rPr>
                <w:rFonts w:ascii="Arial" w:cs="Arial" w:eastAsia="Arial" w:hAnsi="Arial"/>
                <w:sz w:val="24"/>
                <w:szCs w:val="24"/>
              </w:rPr>
              <w:t xml:space="preserve">Расширение услуг "Единое окно" по оказанию правовой помощи на национальном уровне и предоставление новых услуг в режиме онлайн по вопросам законодательства о задолженности/дефолте и банкротстве физических и юридических лиц</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Швейцария, Всемирный Банк</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Повышение потенциала снижения отрицательного макроэкономического воздействия для снижения валютных/ценовых шоков и колебаний. Повышение потенциала лиц, ответственных за разработку политики и принимающих решения (например, техническая поддержка и выработка рекомендации) на основе данных и стратегических рекомендаций в целях стимулирования дискуссий на страновом уровне с тем, чтобы активизировать усилия по раннему восстановлению</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Профинансировано</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Швейцария, Всемирный Банк, ЕК</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208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Улучшение безопасности, верховенства закона и социального единства</w:t>
            </w: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 Действия в поддержку запуска системы предварительной информации о пассажирах (APIS). Оказание помощи государственным органам во внедрении новой системы мониторинга пассажиров, прибывающих в страну, в целях обеспечения безопасности и охраны здоровья</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Профинансировано</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vMerge w:val="continue"/>
            <w:tcBorders>
              <w:top w:val="none" w:color="auto" w:sz="0"/>
              <w:left w:val="single" w:color="CBBF9E" w:sz="4"/>
              <w:bottom w:val="single" w:color="CBBF9E" w:sz="4"/>
              <w:right w:val="single" w:color="CBBF9E" w:sz="4"/>
            </w:tcBorders>
          </w:tcP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Инновационная информационно-разъяснительная кампания в режиме онлайн в целях укрепления социальной сплоченности, инклюзивности и смягчения потенциального приграничного конфликта; инновационные конкурсы для социальных предпринимателей в целях смягчения последствий COVID-19; проведение информационных программ для работы с населением в целях продвижения диалога между различными культурными, социальными и религиозными группами; проведение в режиме онлайн информационно-разъяснительных кампаний по вопросам многообразия и инклюзивности; создание возможностей в режиме онлайн для культурных обменов, молодежных мероприятий и других инклюзивных диалогов на основе выявленных социальных проблем</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МОМ</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Миграция/перемещение</w:t>
            </w:r>
          </w:p>
        </w:tc>
        <w:tc>
          <w:tcPr>
            <w:tcW w:type="dxa" w:w="2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Действия по расширению возможностей для репатриантов и семей мигрантов для возобновления средств к существованию. Экономические мероприятия по интеграции мигрантов и безработных. Например, доступ к навыкам и новым специальностям в тех районах, куда вернулись мигранты, и где они являются безработными. Стимулирование бизнеса мигрантов, акцентируя внимание на поддержку бизнеса, приносящего небольшой ежедневный доход (работники сферы обслуживания, мелкие торговцы)</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3,000,000,00</w:t>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 ПРООН</w:t>
            </w:r>
          </w:p>
        </w:tc>
        <w:tc>
          <w:tcPr>
            <w:tcW w:type="dxa" w:w="11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2020 года</w:t>
            </w:r>
          </w:p>
        </w:tc>
      </w:tr>
      <w:tr>
        <w:tc>
          <w:tcPr>
            <w:tcW w:type="dxa" w:w="493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1,004,000,00</w:t>
            </w:r>
          </w:p>
        </w:tc>
        <w:tc>
          <w:tcPr>
            <w:tcW w:type="dxa" w:w="420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17,860,000,00</w:t>
            </w:r>
          </w:p>
        </w:tc>
      </w:tr>
      <w:tr>
        <w:tc>
          <w:tcPr>
            <w:tcW w:type="dxa" w:w="9614"/>
            <w:gridSpan w:val="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МСХППМ</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пищевой промышленности и мелиорации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ГАООСЛХ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p>
      <w:pPr>
        <w:tabs>
          <w:tab w:val="right" w:pos="10178"/>
        </w:tabs>
        <w:spacing w:after="120"/>
      </w:pPr>
      <w:r>
        <w:rPr>
          <w:rFonts w:ascii="Arial" w:cs="Arial" w:eastAsia="Arial" w:hAnsi="Arial"/>
          <w:b/>
          <w:bCs/>
          <w:sz w:val="24"/>
          <w:szCs w:val="24"/>
        </w:rPr>
        <w:t xml:space="preserve">ГААР</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ЧС</w:t>
      </w:r>
      <w:r>
        <w:rPr>
          <w:rFonts w:ascii="Arial" w:cs="Arial" w:eastAsia="Arial" w:hAnsi="Arial"/>
          <w:sz w:val="24"/>
          <w:szCs w:val="24"/>
        </w:rPr>
        <w:t xml:space="preserve">	</w:t>
      </w:r>
      <w:r>
        <w:rPr>
          <w:rFonts w:ascii="Arial" w:cs="Arial" w:eastAsia="Arial" w:hAnsi="Arial"/>
          <w:sz w:val="24"/>
          <w:szCs w:val="24"/>
        </w:rPr>
        <w:t xml:space="preserve">чрезвычайная ситуация</w:t>
      </w:r>
    </w:p>
    <w:p>
      <w:pPr>
        <w:tabs>
          <w:tab w:val="right" w:pos="10178"/>
        </w:tabs>
        <w:spacing w:after="120"/>
      </w:pPr>
      <w:r>
        <w:rPr>
          <w:rFonts w:ascii="Arial" w:cs="Arial" w:eastAsia="Arial" w:hAnsi="Arial"/>
          <w:b/>
          <w:bCs/>
          <w:sz w:val="24"/>
          <w:szCs w:val="24"/>
        </w:rPr>
        <w:t xml:space="preserve">ЧП</w:t>
      </w:r>
      <w:r>
        <w:rPr>
          <w:rFonts w:ascii="Arial" w:cs="Arial" w:eastAsia="Arial" w:hAnsi="Arial"/>
          <w:sz w:val="24"/>
          <w:szCs w:val="24"/>
        </w:rPr>
        <w:t xml:space="preserve">	</w:t>
      </w:r>
      <w:r>
        <w:rPr>
          <w:rFonts w:ascii="Arial" w:cs="Arial" w:eastAsia="Arial" w:hAnsi="Arial"/>
          <w:sz w:val="24"/>
          <w:szCs w:val="24"/>
        </w:rPr>
        <w:t xml:space="preserve">чрезвычайное положение</w:t>
      </w:r>
    </w:p>
    <w:p>
      <w:pPr>
        <w:tabs>
          <w:tab w:val="right" w:pos="10178"/>
        </w:tabs>
        <w:spacing w:after="120"/>
      </w:pPr>
      <w:r>
        <w:rPr>
          <w:rFonts w:ascii="Arial" w:cs="Arial" w:eastAsia="Arial" w:hAnsi="Arial"/>
          <w:b/>
          <w:bCs/>
          <w:sz w:val="24"/>
          <w:szCs w:val="24"/>
        </w:rPr>
        <w:t xml:space="preserve">НПО</w:t>
      </w:r>
      <w:r>
        <w:rPr>
          <w:rFonts w:ascii="Arial" w:cs="Arial" w:eastAsia="Arial" w:hAnsi="Arial"/>
          <w:sz w:val="24"/>
          <w:szCs w:val="24"/>
        </w:rPr>
        <w:t xml:space="preserve">	</w:t>
      </w:r>
      <w:r>
        <w:rPr>
          <w:rFonts w:ascii="Arial" w:cs="Arial" w:eastAsia="Arial" w:hAnsi="Arial"/>
          <w:sz w:val="24"/>
          <w:szCs w:val="24"/>
        </w:rPr>
        <w:t xml:space="preserve">Неправительственные организации</w:t>
      </w:r>
    </w:p>
    <w:p>
      <w:pPr>
        <w:tabs>
          <w:tab w:val="right" w:pos="10178"/>
        </w:tabs>
        <w:spacing w:after="120"/>
      </w:pPr>
      <w:r>
        <w:rPr>
          <w:rFonts w:ascii="Arial" w:cs="Arial" w:eastAsia="Arial" w:hAnsi="Arial"/>
          <w:b/>
          <w:bCs/>
          <w:sz w:val="24"/>
          <w:szCs w:val="24"/>
        </w:rPr>
        <w:t xml:space="preserve">ГКРЧС</w:t>
      </w:r>
      <w:r>
        <w:rPr>
          <w:rFonts w:ascii="Arial" w:cs="Arial" w:eastAsia="Arial" w:hAnsi="Arial"/>
          <w:sz w:val="24"/>
          <w:szCs w:val="24"/>
        </w:rPr>
        <w:t xml:space="preserve">	</w:t>
      </w:r>
      <w:r>
        <w:rPr>
          <w:rFonts w:ascii="Arial" w:cs="Arial" w:eastAsia="Arial" w:hAnsi="Arial"/>
          <w:sz w:val="24"/>
          <w:szCs w:val="24"/>
        </w:rPr>
        <w:t xml:space="preserve">Группа по координации реагирования на чрезвычайные ситуации</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ООН</w:t>
      </w:r>
    </w:p>
    <w:p>
      <w:pPr>
        <w:tabs>
          <w:tab w:val="right" w:pos="10178"/>
        </w:tabs>
        <w:spacing w:after="120"/>
      </w:pPr>
      <w:r>
        <w:rPr>
          <w:rFonts w:ascii="Arial" w:cs="Arial" w:eastAsia="Arial" w:hAnsi="Arial"/>
          <w:b/>
          <w:bCs/>
          <w:sz w:val="24"/>
          <w:szCs w:val="24"/>
        </w:rPr>
        <w:t xml:space="preserve">ВПП</w:t>
      </w:r>
      <w:r>
        <w:rPr>
          <w:rFonts w:ascii="Arial" w:cs="Arial" w:eastAsia="Arial" w:hAnsi="Arial"/>
          <w:sz w:val="24"/>
          <w:szCs w:val="24"/>
        </w:rPr>
        <w:t xml:space="preserve">	</w:t>
      </w:r>
      <w:r>
        <w:rPr>
          <w:rFonts w:ascii="Arial" w:cs="Arial" w:eastAsia="Arial" w:hAnsi="Arial"/>
          <w:sz w:val="24"/>
          <w:szCs w:val="24"/>
        </w:rPr>
        <w:t xml:space="preserve">Всемирная продовольственная программа ООН</w:t>
      </w:r>
    </w:p>
    <w:p>
      <w:pPr>
        <w:tabs>
          <w:tab w:val="right" w:pos="10178"/>
        </w:tabs>
        <w:spacing w:after="120"/>
      </w:pPr>
      <w:r>
        <w:rPr>
          <w:rFonts w:ascii="Arial" w:cs="Arial" w:eastAsia="Arial" w:hAnsi="Arial"/>
          <w:b/>
          <w:bCs/>
          <w:sz w:val="24"/>
          <w:szCs w:val="24"/>
        </w:rPr>
        <w:t xml:space="preserve">УКГВ</w:t>
      </w:r>
      <w:r>
        <w:rPr>
          <w:rFonts w:ascii="Arial" w:cs="Arial" w:eastAsia="Arial" w:hAnsi="Arial"/>
          <w:sz w:val="24"/>
          <w:szCs w:val="24"/>
        </w:rPr>
        <w:t xml:space="preserve">	</w:t>
      </w:r>
      <w:r>
        <w:rPr>
          <w:rFonts w:ascii="Arial" w:cs="Arial" w:eastAsia="Arial" w:hAnsi="Arial"/>
          <w:sz w:val="24"/>
          <w:szCs w:val="24"/>
        </w:rPr>
        <w:t xml:space="preserve">Управление по координации гуманитарных вопросов ООН</w:t>
      </w:r>
    </w:p>
    <w:p>
      <w:pPr>
        <w:tabs>
          <w:tab w:val="right" w:pos="10178"/>
        </w:tabs>
        <w:spacing w:after="120"/>
      </w:pPr>
      <w:r>
        <w:rPr>
          <w:rFonts w:ascii="Arial" w:cs="Arial" w:eastAsia="Arial" w:hAnsi="Arial"/>
          <w:b/>
          <w:bCs/>
          <w:sz w:val="24"/>
          <w:szCs w:val="24"/>
        </w:rPr>
        <w:t xml:space="preserve">УВКБ</w:t>
      </w:r>
      <w:r>
        <w:rPr>
          <w:rFonts w:ascii="Arial" w:cs="Arial" w:eastAsia="Arial" w:hAnsi="Arial"/>
          <w:sz w:val="24"/>
          <w:szCs w:val="24"/>
        </w:rPr>
        <w:t xml:space="preserve">	</w:t>
      </w:r>
      <w:r>
        <w:rPr>
          <w:rFonts w:ascii="Arial" w:cs="Arial" w:eastAsia="Arial" w:hAnsi="Arial"/>
          <w:sz w:val="24"/>
          <w:szCs w:val="24"/>
        </w:rPr>
        <w:t xml:space="preserve">Управление Верховного комиссара ООН по делам беженцев</w:t>
      </w:r>
    </w:p>
    <w:p>
      <w:pPr>
        <w:tabs>
          <w:tab w:val="right" w:pos="10178"/>
        </w:tabs>
        <w:spacing w:after="120"/>
      </w:pPr>
      <w:r>
        <w:rPr>
          <w:rFonts w:ascii="Arial" w:cs="Arial" w:eastAsia="Arial" w:hAnsi="Arial"/>
          <w:b/>
          <w:bCs/>
          <w:sz w:val="24"/>
          <w:szCs w:val="24"/>
        </w:rPr>
        <w:t xml:space="preserve">ЮНИСЕФ</w:t>
      </w:r>
      <w:r>
        <w:rPr>
          <w:rFonts w:ascii="Arial" w:cs="Arial" w:eastAsia="Arial" w:hAnsi="Arial"/>
          <w:sz w:val="24"/>
          <w:szCs w:val="24"/>
        </w:rPr>
        <w:t xml:space="preserve">	</w:t>
      </w:r>
      <w:r>
        <w:rPr>
          <w:rFonts w:ascii="Arial" w:cs="Arial" w:eastAsia="Arial" w:hAnsi="Arial"/>
          <w:sz w:val="24"/>
          <w:szCs w:val="24"/>
        </w:rPr>
        <w:t xml:space="preserve">Детский фонд ООН</w:t>
      </w:r>
    </w:p>
    <w:p>
      <w:pPr>
        <w:tabs>
          <w:tab w:val="right" w:pos="10178"/>
        </w:tabs>
        <w:spacing w:after="120"/>
      </w:pPr>
      <w:r>
        <w:rPr>
          <w:rFonts w:ascii="Arial" w:cs="Arial" w:eastAsia="Arial" w:hAnsi="Arial"/>
          <w:b/>
          <w:bCs/>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Продовольственная и сельскохозяйственная организация ООН</w:t>
      </w:r>
    </w:p>
    <w:p>
      <w:pPr>
        <w:tabs>
          <w:tab w:val="right" w:pos="10178"/>
        </w:tabs>
        <w:spacing w:after="120"/>
      </w:pPr>
      <w:r>
        <w:rPr>
          <w:rFonts w:ascii="Arial" w:cs="Arial" w:eastAsia="Arial" w:hAnsi="Arial"/>
          <w:b/>
          <w:bCs/>
          <w:sz w:val="24"/>
          <w:szCs w:val="24"/>
        </w:rPr>
        <w:t xml:space="preserve">УВКПЧ</w:t>
      </w:r>
      <w:r>
        <w:rPr>
          <w:rFonts w:ascii="Arial" w:cs="Arial" w:eastAsia="Arial" w:hAnsi="Arial"/>
          <w:sz w:val="24"/>
          <w:szCs w:val="24"/>
        </w:rPr>
        <w:t xml:space="preserve">	</w:t>
      </w:r>
      <w:r>
        <w:rPr>
          <w:rFonts w:ascii="Arial" w:cs="Arial" w:eastAsia="Arial" w:hAnsi="Arial"/>
          <w:sz w:val="24"/>
          <w:szCs w:val="24"/>
        </w:rPr>
        <w:t xml:space="preserve">Управление Верховного комиссара ООН по правам человека</w:t>
      </w:r>
    </w:p>
    <w:p>
      <w:pPr>
        <w:tabs>
          <w:tab w:val="right" w:pos="10178"/>
        </w:tabs>
        <w:spacing w:after="120"/>
      </w:pPr>
      <w:r>
        <w:rPr>
          <w:rFonts w:ascii="Arial" w:cs="Arial" w:eastAsia="Arial" w:hAnsi="Arial"/>
          <w:b/>
          <w:bCs/>
          <w:sz w:val="24"/>
          <w:szCs w:val="24"/>
        </w:rPr>
        <w:t xml:space="preserve">ЮНФПА</w:t>
      </w:r>
      <w:r>
        <w:rPr>
          <w:rFonts w:ascii="Arial" w:cs="Arial" w:eastAsia="Arial" w:hAnsi="Arial"/>
          <w:sz w:val="24"/>
          <w:szCs w:val="24"/>
        </w:rPr>
        <w:t xml:space="preserve">	</w:t>
      </w:r>
      <w:r>
        <w:rPr>
          <w:rFonts w:ascii="Arial" w:cs="Arial" w:eastAsia="Arial" w:hAnsi="Arial"/>
          <w:sz w:val="24"/>
          <w:szCs w:val="24"/>
        </w:rPr>
        <w:t xml:space="preserve">Фонд ООН в области народонаселения</w:t>
      </w:r>
    </w:p>
    <w:p>
      <w:pPr>
        <w:tabs>
          <w:tab w:val="right" w:pos="10178"/>
        </w:tabs>
        <w:spacing w:after="120"/>
      </w:pPr>
      <w:r>
        <w:rPr>
          <w:rFonts w:ascii="Arial" w:cs="Arial" w:eastAsia="Arial" w:hAnsi="Arial"/>
          <w:b/>
          <w:bCs/>
          <w:sz w:val="24"/>
          <w:szCs w:val="24"/>
        </w:rPr>
        <w:t xml:space="preserve">ЮНЭЙДС</w:t>
      </w:r>
      <w:r>
        <w:rPr>
          <w:rFonts w:ascii="Arial" w:cs="Arial" w:eastAsia="Arial" w:hAnsi="Arial"/>
          <w:sz w:val="24"/>
          <w:szCs w:val="24"/>
        </w:rPr>
        <w:t xml:space="preserve">	</w:t>
      </w:r>
      <w:r>
        <w:rPr>
          <w:rFonts w:ascii="Arial" w:cs="Arial" w:eastAsia="Arial" w:hAnsi="Arial"/>
          <w:sz w:val="24"/>
          <w:szCs w:val="24"/>
        </w:rPr>
        <w:t xml:space="preserve">Объединенная программа ООН по ВИЧ/СПИД</w:t>
      </w:r>
    </w:p>
    <w:p>
      <w:pPr>
        <w:tabs>
          <w:tab w:val="right" w:pos="10178"/>
        </w:tabs>
        <w:spacing w:after="120"/>
      </w:pPr>
      <w:r>
        <w:rPr>
          <w:rFonts w:ascii="Arial" w:cs="Arial" w:eastAsia="Arial" w:hAnsi="Arial"/>
          <w:b/>
          <w:bCs/>
          <w:sz w:val="24"/>
          <w:szCs w:val="24"/>
        </w:rPr>
        <w:t xml:space="preserve">ЦООНБ</w:t>
      </w:r>
      <w:r>
        <w:rPr>
          <w:rFonts w:ascii="Arial" w:cs="Arial" w:eastAsia="Arial" w:hAnsi="Arial"/>
          <w:sz w:val="24"/>
          <w:szCs w:val="24"/>
        </w:rPr>
        <w:t xml:space="preserve">	</w:t>
      </w:r>
      <w:r>
        <w:rPr>
          <w:rFonts w:ascii="Arial" w:cs="Arial" w:eastAsia="Arial" w:hAnsi="Arial"/>
          <w:sz w:val="24"/>
          <w:szCs w:val="24"/>
        </w:rPr>
        <w:t xml:space="preserve">Центр ООН по борьбе с терроризмом</w:t>
      </w:r>
    </w:p>
    <w:p>
      <w:pPr>
        <w:tabs>
          <w:tab w:val="right" w:pos="10178"/>
        </w:tabs>
        <w:spacing w:after="120"/>
      </w:pPr>
      <w:r>
        <w:rPr>
          <w:rFonts w:ascii="Arial" w:cs="Arial" w:eastAsia="Arial" w:hAnsi="Arial"/>
          <w:b/>
          <w:bCs/>
          <w:sz w:val="24"/>
          <w:szCs w:val="24"/>
        </w:rPr>
        <w:t xml:space="preserve">УНП</w:t>
      </w:r>
      <w:r>
        <w:rPr>
          <w:rFonts w:ascii="Arial" w:cs="Arial" w:eastAsia="Arial" w:hAnsi="Arial"/>
          <w:sz w:val="24"/>
          <w:szCs w:val="24"/>
        </w:rPr>
        <w:t xml:space="preserve">	</w:t>
      </w:r>
      <w:r>
        <w:rPr>
          <w:rFonts w:ascii="Arial" w:cs="Arial" w:eastAsia="Arial" w:hAnsi="Arial"/>
          <w:sz w:val="24"/>
          <w:szCs w:val="24"/>
        </w:rPr>
        <w:t xml:space="preserve">Управление ООН по наркотикам и преступности</w:t>
      </w:r>
    </w:p>
    <w:p>
      <w:pPr>
        <w:tabs>
          <w:tab w:val="right" w:pos="10178"/>
        </w:tabs>
        <w:spacing w:after="120"/>
      </w:pPr>
      <w:r>
        <w:rPr>
          <w:rFonts w:ascii="Arial" w:cs="Arial" w:eastAsia="Arial" w:hAnsi="Arial"/>
          <w:b/>
          <w:bCs/>
          <w:sz w:val="24"/>
          <w:szCs w:val="24"/>
        </w:rPr>
        <w:t xml:space="preserve">GIZ</w:t>
      </w:r>
      <w:r>
        <w:rPr>
          <w:rFonts w:ascii="Arial" w:cs="Arial" w:eastAsia="Arial" w:hAnsi="Arial"/>
          <w:sz w:val="24"/>
          <w:szCs w:val="24"/>
        </w:rPr>
        <w:t xml:space="preserve">	</w:t>
      </w:r>
      <w:r>
        <w:rPr>
          <w:rFonts w:ascii="Arial" w:cs="Arial" w:eastAsia="Arial" w:hAnsi="Arial"/>
          <w:sz w:val="24"/>
          <w:szCs w:val="24"/>
        </w:rPr>
        <w:t xml:space="preserve">Германское общество международного сотрудничества</w:t>
      </w:r>
    </w:p>
    <w:p>
      <w:pPr>
        <w:tabs>
          <w:tab w:val="right" w:pos="10178"/>
        </w:tabs>
        <w:spacing w:after="120"/>
      </w:pPr>
      <w:r>
        <w:rPr>
          <w:rFonts w:ascii="Arial" w:cs="Arial" w:eastAsia="Arial" w:hAnsi="Arial"/>
          <w:b/>
          <w:bCs/>
          <w:sz w:val="24"/>
          <w:szCs w:val="24"/>
        </w:rPr>
        <w:t xml:space="preserve">Евросоюз</w:t>
      </w:r>
      <w:r>
        <w:rPr>
          <w:rFonts w:ascii="Arial" w:cs="Arial" w:eastAsia="Arial" w:hAnsi="Arial"/>
          <w:sz w:val="24"/>
          <w:szCs w:val="24"/>
        </w:rPr>
        <w:t xml:space="preserve">	</w:t>
      </w:r>
      <w:r>
        <w:rPr>
          <w:rFonts w:ascii="Arial" w:cs="Arial" w:eastAsia="Arial" w:hAnsi="Arial"/>
          <w:sz w:val="24"/>
          <w:szCs w:val="24"/>
        </w:rPr>
        <w:t xml:space="preserve">Европейский союз</w:t>
      </w:r>
    </w:p>
    <w:p>
      <w:pPr>
        <w:tabs>
          <w:tab w:val="right" w:pos="10178"/>
        </w:tabs>
        <w:spacing w:after="120"/>
      </w:pPr>
      <w:r>
        <w:rPr>
          <w:rFonts w:ascii="Arial" w:cs="Arial" w:eastAsia="Arial" w:hAnsi="Arial"/>
          <w:b/>
          <w:bCs/>
          <w:sz w:val="24"/>
          <w:szCs w:val="24"/>
        </w:rPr>
        <w:t xml:space="preserve">НОКП КР</w:t>
      </w:r>
      <w:r>
        <w:rPr>
          <w:rFonts w:ascii="Arial" w:cs="Arial" w:eastAsia="Arial" w:hAnsi="Arial"/>
          <w:sz w:val="24"/>
          <w:szCs w:val="24"/>
        </w:rPr>
        <w:t xml:space="preserve">	</w:t>
      </w:r>
      <w:r>
        <w:rPr>
          <w:rFonts w:ascii="Arial" w:cs="Arial" w:eastAsia="Arial" w:hAnsi="Arial"/>
          <w:sz w:val="24"/>
          <w:szCs w:val="24"/>
        </w:rPr>
        <w:t xml:space="preserve">Национальное общество Красного Полумесяца Кыргызской Республики</w:t>
      </w:r>
    </w:p>
    <w:p>
      <w:pPr>
        <w:tabs>
          <w:tab w:val="right" w:pos="10178"/>
        </w:tabs>
        <w:spacing w:after="120"/>
      </w:pPr>
      <w:r>
        <w:rPr>
          <w:rFonts w:ascii="Arial" w:cs="Arial" w:eastAsia="Arial" w:hAnsi="Arial"/>
          <w:b/>
          <w:bCs/>
          <w:sz w:val="24"/>
          <w:szCs w:val="24"/>
        </w:rPr>
        <w:t xml:space="preserve">CDC</w:t>
      </w:r>
      <w:r>
        <w:rPr>
          <w:rFonts w:ascii="Arial" w:cs="Arial" w:eastAsia="Arial" w:hAnsi="Arial"/>
          <w:sz w:val="24"/>
          <w:szCs w:val="24"/>
        </w:rPr>
        <w:t xml:space="preserve">	</w:t>
      </w:r>
      <w:r>
        <w:rPr>
          <w:rFonts w:ascii="Arial" w:cs="Arial" w:eastAsia="Arial" w:hAnsi="Arial"/>
          <w:sz w:val="24"/>
          <w:szCs w:val="24"/>
        </w:rPr>
        <w:t xml:space="preserve">Центры по контролю и профилактике заболеваний США</w:t>
      </w:r>
    </w:p>
    <w:p>
      <w:pPr>
        <w:tabs>
          <w:tab w:val="right" w:pos="10178"/>
        </w:tabs>
        <w:spacing w:after="120"/>
      </w:pPr>
      <w:r>
        <w:rPr>
          <w:rFonts w:ascii="Arial" w:cs="Arial" w:eastAsia="Arial" w:hAnsi="Arial"/>
          <w:b/>
          <w:bCs/>
          <w:sz w:val="24"/>
          <w:szCs w:val="24"/>
        </w:rPr>
        <w:t xml:space="preserve">МОМ</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по миграции</w:t>
      </w:r>
    </w:p>
    <w:p>
      <w:pPr>
        <w:tabs>
          <w:tab w:val="right" w:pos="10178"/>
        </w:tabs>
        <w:spacing w:after="120"/>
      </w:pPr>
      <w:r>
        <w:rPr>
          <w:rFonts w:ascii="Arial" w:cs="Arial" w:eastAsia="Arial" w:hAnsi="Arial"/>
          <w:b/>
          <w:bCs/>
          <w:sz w:val="24"/>
          <w:szCs w:val="24"/>
        </w:rPr>
        <w:t xml:space="preserve">МОТ</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труда</w:t>
      </w:r>
    </w:p>
    <w:p>
      <w:pPr>
        <w:tabs>
          <w:tab w:val="right" w:pos="10178"/>
        </w:tabs>
        <w:spacing w:after="120"/>
      </w:pPr>
      <w:r>
        <w:rPr>
          <w:rFonts w:ascii="Arial" w:cs="Arial" w:eastAsia="Arial" w:hAnsi="Arial"/>
          <w:b/>
          <w:bCs/>
          <w:sz w:val="24"/>
          <w:szCs w:val="24"/>
        </w:rPr>
        <w:t xml:space="preserve">МККК</w:t>
      </w:r>
      <w:r>
        <w:rPr>
          <w:rFonts w:ascii="Arial" w:cs="Arial" w:eastAsia="Arial" w:hAnsi="Arial"/>
          <w:sz w:val="24"/>
          <w:szCs w:val="24"/>
        </w:rPr>
        <w:t xml:space="preserve">	</w:t>
      </w:r>
      <w:r>
        <w:rPr>
          <w:rFonts w:ascii="Arial" w:cs="Arial" w:eastAsia="Arial" w:hAnsi="Arial"/>
          <w:sz w:val="24"/>
          <w:szCs w:val="24"/>
        </w:rPr>
        <w:t xml:space="preserve">Международный комитет Красного Креста</w:t>
      </w:r>
    </w:p>
    <w:p>
      <w:pPr>
        <w:tabs>
          <w:tab w:val="right" w:pos="10178"/>
        </w:tabs>
        <w:spacing w:after="120"/>
      </w:pPr>
      <w:r>
        <w:rPr>
          <w:rFonts w:ascii="Arial" w:cs="Arial" w:eastAsia="Arial" w:hAnsi="Arial"/>
          <w:b/>
          <w:bCs/>
          <w:sz w:val="24"/>
          <w:szCs w:val="24"/>
        </w:rPr>
        <w:t xml:space="preserve">ACTED</w:t>
      </w:r>
      <w:r>
        <w:rPr>
          <w:rFonts w:ascii="Arial" w:cs="Arial" w:eastAsia="Arial" w:hAnsi="Arial"/>
          <w:sz w:val="24"/>
          <w:szCs w:val="24"/>
        </w:rPr>
        <w:t xml:space="preserve">	</w:t>
      </w:r>
      <w:r>
        <w:rPr>
          <w:rFonts w:ascii="Arial" w:cs="Arial" w:eastAsia="Arial" w:hAnsi="Arial"/>
          <w:sz w:val="24"/>
          <w:szCs w:val="24"/>
        </w:rPr>
        <w:t xml:space="preserve">Агентство по техническому сотрудничеству и развитию</w:t>
      </w:r>
    </w:p>
    <w:p>
      <w:pPr>
        <w:tabs>
          <w:tab w:val="right" w:pos="10178"/>
        </w:tabs>
        <w:spacing w:after="120"/>
      </w:pPr>
      <w:r>
        <w:rPr>
          <w:rFonts w:ascii="Arial" w:cs="Arial" w:eastAsia="Arial" w:hAnsi="Arial"/>
          <w:b/>
          <w:bCs/>
          <w:sz w:val="24"/>
          <w:szCs w:val="24"/>
        </w:rPr>
        <w:t xml:space="preserve">ЕБРР</w:t>
      </w:r>
      <w:r>
        <w:rPr>
          <w:rFonts w:ascii="Arial" w:cs="Arial" w:eastAsia="Arial" w:hAnsi="Arial"/>
          <w:sz w:val="24"/>
          <w:szCs w:val="24"/>
        </w:rPr>
        <w:t xml:space="preserve">	</w:t>
      </w: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ГКРЧС</w:t>
      </w:r>
      <w:r>
        <w:rPr>
          <w:rFonts w:ascii="Arial" w:cs="Arial" w:eastAsia="Arial" w:hAnsi="Arial"/>
          <w:sz w:val="24"/>
          <w:szCs w:val="24"/>
        </w:rPr>
        <w:t xml:space="preserve">	</w:t>
      </w:r>
      <w:r>
        <w:rPr>
          <w:rFonts w:ascii="Arial" w:cs="Arial" w:eastAsia="Arial" w:hAnsi="Arial"/>
          <w:b/>
          <w:bCs/>
          <w:sz w:val="24"/>
          <w:szCs w:val="24"/>
        </w:rPr>
        <w:t xml:space="preserve">За Правительство Кыргызской Республики</w:t>
      </w:r>
    </w:p>
    <w:p>
      <w:pPr>
        <w:tabs>
          <w:tab w:val="right" w:pos="10178"/>
        </w:tabs>
        <w:spacing w:after="120"/>
      </w:pPr>
      <w:r>
        <w:rPr>
          <w:rFonts w:ascii="Arial" w:cs="Arial" w:eastAsia="Arial" w:hAnsi="Arial"/>
          <w:b/>
          <w:bCs/>
          <w:sz w:val="24"/>
          <w:szCs w:val="24"/>
        </w:rPr>
        <w:t xml:space="preserve">________________ Ожиело Озонниа</w:t>
      </w:r>
      <w:r>
        <w:rPr>
          <w:rFonts w:ascii="Arial" w:cs="Arial" w:eastAsia="Arial" w:hAnsi="Arial"/>
          <w:sz w:val="24"/>
          <w:szCs w:val="24"/>
        </w:rPr>
        <w:t xml:space="preserve">	</w:t>
      </w:r>
      <w:r>
        <w:rPr>
          <w:rFonts w:ascii="Arial" w:cs="Arial" w:eastAsia="Arial" w:hAnsi="Arial"/>
          <w:b/>
          <w:bCs/>
          <w:sz w:val="24"/>
          <w:szCs w:val="24"/>
        </w:rPr>
        <w:t xml:space="preserve">_____________________ А.Ж.Исмаилова</w:t>
      </w:r>
    </w:p>
    <w:p>
      <w:pPr>
        <w:tabs>
          <w:tab w:val="right" w:pos="10178"/>
        </w:tabs>
        <w:spacing w:after="120"/>
      </w:pPr>
      <w:r>
        <w:rPr>
          <w:rFonts w:ascii="Arial" w:cs="Arial" w:eastAsia="Arial" w:hAnsi="Arial"/>
          <w:b/>
          <w:bCs/>
          <w:sz w:val="24"/>
          <w:szCs w:val="24"/>
        </w:rPr>
        <w:t xml:space="preserve">"___" _____________________ 2020 г.</w:t>
      </w:r>
      <w:r>
        <w:rPr>
          <w:rFonts w:ascii="Arial" w:cs="Arial" w:eastAsia="Arial" w:hAnsi="Arial"/>
          <w:sz w:val="24"/>
          <w:szCs w:val="24"/>
        </w:rPr>
        <w:t xml:space="preserve">	</w:t>
      </w:r>
      <w:r>
        <w:rPr>
          <w:rFonts w:ascii="Arial" w:cs="Arial" w:eastAsia="Arial" w:hAnsi="Arial"/>
          <w:b/>
          <w:bCs/>
          <w:sz w:val="24"/>
          <w:szCs w:val="24"/>
        </w:rPr>
        <w:t xml:space="preserve">"___" ____________________ 2020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vb7fuq7gzpmy2suvfyaf">
      <w:r>
        <w:rPr>
          <w:rFonts w:ascii="Arial" w:cs="Arial" w:eastAsia="Arial" w:hAnsi="Arial"/>
          <w:color w:val="132D3F"/>
          <w:sz w:val="16"/>
          <w:szCs w:val="16"/>
          <w:u w:val="single"/>
        </w:rPr>
        <w:t xml:space="preserve">dalil.kg/document/218195</w:t>
      </w:r>
    </w:hyperlink>
  </w:p>
  <w:p>
    <w:pPr>
      <w:spacing w:after="0" w:before="40"/>
      <w:jc w:val="center"/>
    </w:pPr>
    <w:hyperlink w:history="1" r:id="rId5lgysvjzh9blbpc9rci6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cfcl0ikn9ezxtatgosf" Type="http://schemas.openxmlformats.org/officeDocument/2006/relationships/hyperlink" Target="https://dalil.kg/document/218195#p1" TargetMode="External"/><Relationship Id="rIdvw2x9c6-fwovevfdtvfuz" Type="http://schemas.openxmlformats.org/officeDocument/2006/relationships/hyperlink" Target="https://dalil.kg/document/100100" TargetMode="External"/><Relationship Id="rIdvcc_djugx2sbodwturox-" Type="http://schemas.openxmlformats.org/officeDocument/2006/relationships/hyperlink" Target="https://dalil.kg/document/10009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vb7fuq7gzpmy2suvfyaf" Type="http://schemas.openxmlformats.org/officeDocument/2006/relationships/hyperlink" Target="https://dalil.kg/document/218195" TargetMode="External"/><Relationship Id="rId5lgysvjzh9blbpc9rci6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2026-09-30T19:46:13.094Z</dcterms:created>
  <dcterms:modified xsi:type="dcterms:W3CDTF">2026-09-30T19:46:13.094Z</dcterms:modified>
</cp:coreProperties>
</file>

<file path=docProps/custom.xml><?xml version="1.0" encoding="utf-8"?>
<Properties xmlns="http://schemas.openxmlformats.org/officeDocument/2006/custom-properties" xmlns:vt="http://schemas.openxmlformats.org/officeDocument/2006/docPropsVTypes"/>
</file>