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31 декабря 2020 года № 417-р</w:t>
      </w:r>
    </w:p>
    <w:p>
      <w:pPr>
        <w:spacing w:after="120"/>
        <w:jc w:val="both"/>
      </w:pPr>
      <w:r>
        <w:rPr>
          <w:rFonts w:ascii="Arial" w:cs="Arial" w:eastAsia="Arial" w:hAnsi="Arial"/>
          <w:sz w:val="24"/>
          <w:szCs w:val="24"/>
        </w:rPr>
        <w:t xml:space="preserve">В целях реализации Соглашения о предоставлении инвестиционного кредита из средств Антикризисного фонда Евразийского экономического сообщества для финансирования Проекта "Реконструкция автомобильной дороги Бишкек-Ош. Фаза-4", подписанного 20 марта 2014 года и ратифицированного </w:t>
      </w:r>
      <w:hyperlink w:history="1" r:id="rIdojifluj6gonpbr-6mjs9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июля 2014 года № 105:</w:t>
      </w:r>
    </w:p>
    <w:p>
      <w:pPr>
        <w:spacing w:after="120"/>
        <w:jc w:val="both"/>
      </w:pPr>
      <w:r>
        <w:rPr>
          <w:rFonts w:ascii="Arial" w:cs="Arial" w:eastAsia="Arial" w:hAnsi="Arial"/>
          <w:sz w:val="24"/>
          <w:szCs w:val="24"/>
        </w:rPr>
        <w:t xml:space="preserve">1. Принять к сведению прилагаемый на официальном языке (неофициальный перевод) </w:t>
      </w:r>
      <w:hyperlink w:history="1" r:id="rId5yb-08vs1jl_4qdbx_snu">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изъятия земель и переселения по Проекту "Реконструкция автомобильной дороги Бишкек-Ош. Фаза-4".</w:t>
      </w:r>
    </w:p>
    <w:p>
      <w:pPr>
        <w:spacing w:after="120"/>
        <w:jc w:val="both"/>
      </w:pPr>
      <w:r>
        <w:rPr>
          <w:rFonts w:ascii="Arial" w:cs="Arial" w:eastAsia="Arial" w:hAnsi="Arial"/>
          <w:sz w:val="24"/>
          <w:szCs w:val="24"/>
        </w:rPr>
        <w:t xml:space="preserve">2. Министерству транспорта и дорог Кыргызской Республики в установленном законодательством порядке обеспечить выплату денежной компенсации в рамках софинансирования Правительства Кыргызской Республики, предусмотренного вышеуказанным Соглашением.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А.Э.Новиков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транспорта и дорог Кыргызской Республики</w:t>
      </w:r>
    </w:p>
    <w:p>
      <w:pPr>
        <w:spacing w:after="240" w:before="200"/>
        <w:jc w:val="center"/>
      </w:pPr>
      <w:r>
        <w:rPr>
          <w:rFonts w:ascii="Arial" w:cs="Arial" w:eastAsia="Arial" w:hAnsi="Arial"/>
          <w:b/>
          <w:bCs/>
          <w:sz w:val="32"/>
          <w:szCs w:val="32"/>
        </w:rPr>
        <w:t xml:space="preserve">Проект "Реконструкция автомобильной дороги Бишкек-Ош, Фаза IV"
 (участок от с.Маданият до г.Джалал-Абад)</w:t>
      </w:r>
    </w:p>
    <w:p>
      <w:pPr>
        <w:spacing w:after="120"/>
        <w:jc w:val="center"/>
      </w:pPr>
      <w:r>
        <w:rPr>
          <w:rFonts w:ascii="Arial" w:cs="Arial" w:eastAsia="Arial" w:hAnsi="Arial"/>
          <w:b/>
          <w:bCs/>
          <w:sz w:val="24"/>
          <w:szCs w:val="24"/>
        </w:rPr>
        <w:t xml:space="preserve">ПЛАН</w:t>
      </w:r>
      <w:r>
        <w:rPr>
          <w:rFonts w:ascii="Arial" w:cs="Arial" w:eastAsia="Arial" w:hAnsi="Arial"/>
          <w:b/>
          <w:bCs/>
          <w:sz w:val="24"/>
          <w:szCs w:val="24"/>
        </w:rPr>
        <w:t xml:space="preserve">
 изъятия земель и переселения</w:t>
      </w:r>
    </w:p>
    <w:p>
      <w:pPr>
        <w:spacing w:after="240" w:before="200"/>
        <w:jc w:val="center"/>
      </w:pPr>
      <w:r>
        <w:rPr>
          <w:rFonts w:ascii="Arial" w:cs="Arial" w:eastAsia="Arial" w:hAnsi="Arial"/>
          <w:b/>
          <w:bCs/>
          <w:sz w:val="32"/>
          <w:szCs w:val="32"/>
        </w:rPr>
        <w:t xml:space="preserve">Аббревиатуры и сокращения</w:t>
      </w:r>
    </w:p>
    <w:p>
      <w:pPr>
        <w:tabs>
          <w:tab w:val="right" w:pos="10178"/>
        </w:tabs>
        <w:spacing w:after="120"/>
      </w:pPr>
      <w:r>
        <w:rPr>
          <w:rFonts w:ascii="Arial" w:cs="Arial" w:eastAsia="Arial" w:hAnsi="Arial"/>
          <w:sz w:val="24"/>
          <w:szCs w:val="24"/>
        </w:rPr>
        <w:t xml:space="preserve">USD</w:t>
      </w:r>
      <w:r>
        <w:rPr>
          <w:rFonts w:ascii="Arial" w:cs="Arial" w:eastAsia="Arial" w:hAnsi="Arial"/>
          <w:sz w:val="24"/>
          <w:szCs w:val="24"/>
        </w:rPr>
        <w:t xml:space="preserve">	</w:t>
      </w:r>
      <w:r>
        <w:rPr>
          <w:rFonts w:ascii="Arial" w:cs="Arial" w:eastAsia="Arial" w:hAnsi="Arial"/>
          <w:sz w:val="24"/>
          <w:szCs w:val="24"/>
        </w:rPr>
        <w:t xml:space="preserve">Доллар США</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sz w:val="24"/>
          <w:szCs w:val="24"/>
        </w:rPr>
        <w:t xml:space="preserve">KGS</w:t>
      </w:r>
      <w:r>
        <w:rPr>
          <w:rFonts w:ascii="Arial" w:cs="Arial" w:eastAsia="Arial" w:hAnsi="Arial"/>
          <w:sz w:val="24"/>
          <w:szCs w:val="24"/>
        </w:rPr>
        <w:t xml:space="preserve">	</w:t>
      </w:r>
      <w:r>
        <w:rPr>
          <w:rFonts w:ascii="Arial" w:cs="Arial" w:eastAsia="Arial" w:hAnsi="Arial"/>
          <w:sz w:val="24"/>
          <w:szCs w:val="24"/>
        </w:rPr>
        <w:t xml:space="preserve">Кыргызский сом (денежная единица)</w:t>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ABM</w:t>
      </w:r>
      <w:r>
        <w:rPr>
          <w:rFonts w:ascii="Arial" w:cs="Arial" w:eastAsia="Arial" w:hAnsi="Arial"/>
          <w:sz w:val="24"/>
          <w:szCs w:val="24"/>
        </w:rPr>
        <w:t xml:space="preserve">	</w:t>
      </w:r>
      <w:r>
        <w:rPr>
          <w:rFonts w:ascii="Arial" w:cs="Arial" w:eastAsia="Arial" w:hAnsi="Arial"/>
          <w:sz w:val="24"/>
          <w:szCs w:val="24"/>
        </w:rPr>
        <w:t xml:space="preserve">Агентство внешнего мониторинга</w:t>
      </w:r>
    </w:p>
    <w:p>
      <w:pPr>
        <w:tabs>
          <w:tab w:val="right" w:pos="10178"/>
        </w:tabs>
        <w:spacing w:after="120"/>
      </w:pPr>
      <w:r>
        <w:rPr>
          <w:rFonts w:ascii="Arial" w:cs="Arial" w:eastAsia="Arial" w:hAnsi="Arial"/>
          <w:sz w:val="24"/>
          <w:szCs w:val="24"/>
        </w:rPr>
        <w:t xml:space="preserve">ВП</w:t>
      </w:r>
      <w:r>
        <w:rPr>
          <w:rFonts w:ascii="Arial" w:cs="Arial" w:eastAsia="Arial" w:hAnsi="Arial"/>
          <w:sz w:val="24"/>
          <w:szCs w:val="24"/>
        </w:rPr>
        <w:t xml:space="preserve">	</w:t>
      </w:r>
      <w:r>
        <w:rPr>
          <w:rFonts w:ascii="Arial" w:cs="Arial" w:eastAsia="Arial" w:hAnsi="Arial"/>
          <w:sz w:val="24"/>
          <w:szCs w:val="24"/>
        </w:rPr>
        <w:t xml:space="preserve">Вынужденное переселение</w:t>
      </w:r>
    </w:p>
    <w:p>
      <w:pPr>
        <w:tabs>
          <w:tab w:val="right" w:pos="10178"/>
        </w:tabs>
        <w:spacing w:after="120"/>
      </w:pPr>
      <w:r>
        <w:rPr>
          <w:rFonts w:ascii="Arial" w:cs="Arial" w:eastAsia="Arial" w:hAnsi="Arial"/>
          <w:sz w:val="24"/>
          <w:szCs w:val="24"/>
        </w:rPr>
        <w:t xml:space="preserve">ГРИП</w:t>
      </w:r>
      <w:r>
        <w:rPr>
          <w:rFonts w:ascii="Arial" w:cs="Arial" w:eastAsia="Arial" w:hAnsi="Arial"/>
          <w:sz w:val="24"/>
          <w:szCs w:val="24"/>
        </w:rPr>
        <w:t xml:space="preserve">	</w:t>
      </w:r>
      <w:r>
        <w:rPr>
          <w:rFonts w:ascii="Arial" w:cs="Arial" w:eastAsia="Arial" w:hAnsi="Arial"/>
          <w:sz w:val="24"/>
          <w:szCs w:val="24"/>
        </w:rPr>
        <w:t xml:space="preserve">Группа реализации инвестиционных проектов</w:t>
      </w:r>
    </w:p>
    <w:p>
      <w:pPr>
        <w:tabs>
          <w:tab w:val="right" w:pos="10178"/>
        </w:tabs>
        <w:spacing w:after="120"/>
      </w:pPr>
      <w:r>
        <w:rPr>
          <w:rFonts w:ascii="Arial" w:cs="Arial" w:eastAsia="Arial" w:hAnsi="Arial"/>
          <w:sz w:val="24"/>
          <w:szCs w:val="24"/>
        </w:rPr>
        <w:t xml:space="preserve">ГРЖ</w:t>
      </w:r>
      <w:r>
        <w:rPr>
          <w:rFonts w:ascii="Arial" w:cs="Arial" w:eastAsia="Arial" w:hAnsi="Arial"/>
          <w:sz w:val="24"/>
          <w:szCs w:val="24"/>
        </w:rPr>
        <w:t xml:space="preserve">	</w:t>
      </w:r>
      <w:r>
        <w:rPr>
          <w:rFonts w:ascii="Arial" w:cs="Arial" w:eastAsia="Arial" w:hAnsi="Arial"/>
          <w:sz w:val="24"/>
          <w:szCs w:val="24"/>
        </w:rPr>
        <w:t xml:space="preserve">Группа по рассмотрению жалоб</w:t>
      </w:r>
    </w:p>
    <w:p>
      <w:pPr>
        <w:tabs>
          <w:tab w:val="right" w:pos="10178"/>
        </w:tabs>
        <w:spacing w:after="120"/>
      </w:pPr>
      <w:r>
        <w:rPr>
          <w:rFonts w:ascii="Arial" w:cs="Arial" w:eastAsia="Arial" w:hAnsi="Arial"/>
          <w:sz w:val="24"/>
          <w:szCs w:val="24"/>
        </w:rPr>
        <w:t xml:space="preserve">ДДХ</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w:t>
      </w:r>
    </w:p>
    <w:p>
      <w:pPr>
        <w:tabs>
          <w:tab w:val="right" w:pos="10178"/>
        </w:tabs>
        <w:spacing w:after="120"/>
      </w:pPr>
      <w:r>
        <w:rPr>
          <w:rFonts w:ascii="Arial" w:cs="Arial" w:eastAsia="Arial" w:hAnsi="Arial"/>
          <w:sz w:val="24"/>
          <w:szCs w:val="24"/>
        </w:rPr>
        <w:t xml:space="preserve">ДЗИ</w:t>
      </w:r>
      <w:r>
        <w:rPr>
          <w:rFonts w:ascii="Arial" w:cs="Arial" w:eastAsia="Arial" w:hAnsi="Arial"/>
          <w:sz w:val="24"/>
          <w:szCs w:val="24"/>
        </w:rPr>
        <w:t xml:space="preserve">	</w:t>
      </w:r>
      <w:r>
        <w:rPr>
          <w:rFonts w:ascii="Arial" w:cs="Arial" w:eastAsia="Arial" w:hAnsi="Arial"/>
          <w:sz w:val="24"/>
          <w:szCs w:val="24"/>
        </w:rPr>
        <w:t xml:space="preserve">Детальные замеры имущества</w:t>
      </w:r>
    </w:p>
    <w:p>
      <w:pPr>
        <w:tabs>
          <w:tab w:val="right" w:pos="10178"/>
        </w:tabs>
        <w:spacing w:after="120"/>
      </w:pPr>
      <w:r>
        <w:rPr>
          <w:rFonts w:ascii="Arial" w:cs="Arial" w:eastAsia="Arial" w:hAnsi="Arial"/>
          <w:sz w:val="24"/>
          <w:szCs w:val="24"/>
        </w:rPr>
        <w:t xml:space="preserve">ДПВ</w:t>
      </w:r>
      <w:r>
        <w:rPr>
          <w:rFonts w:ascii="Arial" w:cs="Arial" w:eastAsia="Arial" w:hAnsi="Arial"/>
          <w:sz w:val="24"/>
          <w:szCs w:val="24"/>
        </w:rPr>
        <w:t xml:space="preserve">	</w:t>
      </w:r>
      <w:r>
        <w:rPr>
          <w:rFonts w:ascii="Arial" w:cs="Arial" w:eastAsia="Arial" w:hAnsi="Arial"/>
          <w:sz w:val="24"/>
          <w:szCs w:val="24"/>
        </w:rPr>
        <w:t xml:space="preserve">Домохозяйство, попавшее под воздействие</w:t>
      </w:r>
    </w:p>
    <w:p>
      <w:pPr>
        <w:tabs>
          <w:tab w:val="right" w:pos="10178"/>
        </w:tabs>
        <w:spacing w:after="120"/>
      </w:pPr>
      <w:r>
        <w:rPr>
          <w:rFonts w:ascii="Arial" w:cs="Arial" w:eastAsia="Arial" w:hAnsi="Arial"/>
          <w:sz w:val="24"/>
          <w:szCs w:val="24"/>
        </w:rPr>
        <w:t xml:space="preserve">ДХ/ЛСВП</w:t>
      </w:r>
      <w:r>
        <w:rPr>
          <w:rFonts w:ascii="Arial" w:cs="Arial" w:eastAsia="Arial" w:hAnsi="Arial"/>
          <w:sz w:val="24"/>
          <w:szCs w:val="24"/>
        </w:rPr>
        <w:t xml:space="preserve">	</w:t>
      </w:r>
      <w:r>
        <w:rPr>
          <w:rFonts w:ascii="Arial" w:cs="Arial" w:eastAsia="Arial" w:hAnsi="Arial"/>
          <w:sz w:val="24"/>
          <w:szCs w:val="24"/>
        </w:rPr>
        <w:t xml:space="preserve">Домохозяйство/лицо, попавшее под сильное воздействие</w:t>
      </w:r>
    </w:p>
    <w:p>
      <w:pPr>
        <w:tabs>
          <w:tab w:val="right" w:pos="10178"/>
        </w:tabs>
        <w:spacing w:after="120"/>
      </w:pPr>
      <w:r>
        <w:rPr>
          <w:rFonts w:ascii="Arial" w:cs="Arial" w:eastAsia="Arial" w:hAnsi="Arial"/>
          <w:sz w:val="24"/>
          <w:szCs w:val="24"/>
        </w:rPr>
        <w:t xml:space="preserve">ДХСВ</w:t>
      </w:r>
      <w:r>
        <w:rPr>
          <w:rFonts w:ascii="Arial" w:cs="Arial" w:eastAsia="Arial" w:hAnsi="Arial"/>
          <w:sz w:val="24"/>
          <w:szCs w:val="24"/>
        </w:rPr>
        <w:t xml:space="preserve">	</w:t>
      </w:r>
      <w:r>
        <w:rPr>
          <w:rFonts w:ascii="Arial" w:cs="Arial" w:eastAsia="Arial" w:hAnsi="Arial"/>
          <w:sz w:val="24"/>
          <w:szCs w:val="24"/>
        </w:rPr>
        <w:t xml:space="preserve">Домохозяйство, попавшее под сильное воздействие</w:t>
      </w:r>
    </w:p>
    <w:p>
      <w:pPr>
        <w:tabs>
          <w:tab w:val="right" w:pos="10178"/>
        </w:tabs>
        <w:spacing w:after="120"/>
      </w:pPr>
      <w:r>
        <w:rPr>
          <w:rFonts w:ascii="Arial" w:cs="Arial" w:eastAsia="Arial" w:hAnsi="Arial"/>
          <w:sz w:val="24"/>
          <w:szCs w:val="24"/>
        </w:rPr>
        <w:t xml:space="preserve">ДЭУ</w:t>
      </w:r>
      <w:r>
        <w:rPr>
          <w:rFonts w:ascii="Arial" w:cs="Arial" w:eastAsia="Arial" w:hAnsi="Arial"/>
          <w:sz w:val="24"/>
          <w:szCs w:val="24"/>
        </w:rPr>
        <w:t xml:space="preserve">	</w:t>
      </w:r>
      <w:r>
        <w:rPr>
          <w:rFonts w:ascii="Arial" w:cs="Arial" w:eastAsia="Arial" w:hAnsi="Arial"/>
          <w:sz w:val="24"/>
          <w:szCs w:val="24"/>
        </w:rPr>
        <w:t xml:space="preserve">Дорожно-эксплуатационное управление (Подразделение Министерства транспорта и дорог (МТИД) районного уровня)</w:t>
      </w:r>
    </w:p>
    <w:p>
      <w:pPr>
        <w:tabs>
          <w:tab w:val="right" w:pos="10178"/>
        </w:tabs>
        <w:spacing w:after="120"/>
      </w:pPr>
      <w:r>
        <w:rPr>
          <w:rFonts w:ascii="Arial" w:cs="Arial" w:eastAsia="Arial" w:hAnsi="Arial"/>
          <w:sz w:val="24"/>
          <w:szCs w:val="24"/>
        </w:rPr>
        <w:t xml:space="preserve">ЕБР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ЕФСР</w:t>
      </w:r>
      <w:r>
        <w:rPr>
          <w:rFonts w:ascii="Arial" w:cs="Arial" w:eastAsia="Arial" w:hAnsi="Arial"/>
          <w:sz w:val="24"/>
          <w:szCs w:val="24"/>
        </w:rPr>
        <w:t xml:space="preserve">	</w:t>
      </w:r>
      <w:r>
        <w:rPr>
          <w:rFonts w:ascii="Arial" w:cs="Arial" w:eastAsia="Arial" w:hAnsi="Arial"/>
          <w:sz w:val="24"/>
          <w:szCs w:val="24"/>
        </w:rPr>
        <w:t xml:space="preserve">Евразийский фонд стабилизации и развития</w:t>
      </w:r>
    </w:p>
    <w:p>
      <w:pPr>
        <w:tabs>
          <w:tab w:val="right" w:pos="10178"/>
        </w:tabs>
        <w:spacing w:after="120"/>
      </w:pPr>
      <w:r>
        <w:rPr>
          <w:rFonts w:ascii="Arial" w:cs="Arial" w:eastAsia="Arial" w:hAnsi="Arial"/>
          <w:sz w:val="24"/>
          <w:szCs w:val="24"/>
        </w:rPr>
        <w:t xml:space="preserve">ЗДХ</w:t>
      </w:r>
      <w:r>
        <w:rPr>
          <w:rFonts w:ascii="Arial" w:cs="Arial" w:eastAsia="Arial" w:hAnsi="Arial"/>
          <w:sz w:val="24"/>
          <w:szCs w:val="24"/>
        </w:rPr>
        <w:t xml:space="preserve">	</w:t>
      </w:r>
      <w:r>
        <w:rPr>
          <w:rFonts w:ascii="Arial" w:cs="Arial" w:eastAsia="Arial" w:hAnsi="Arial"/>
          <w:sz w:val="24"/>
          <w:szCs w:val="24"/>
        </w:rPr>
        <w:t xml:space="preserve">Затронутое домохозяйство</w:t>
      </w:r>
    </w:p>
    <w:p>
      <w:pPr>
        <w:tabs>
          <w:tab w:val="right" w:pos="10178"/>
        </w:tabs>
        <w:spacing w:after="120"/>
      </w:pPr>
      <w:r>
        <w:rPr>
          <w:rFonts w:ascii="Arial" w:cs="Arial" w:eastAsia="Arial" w:hAnsi="Arial"/>
          <w:sz w:val="24"/>
          <w:szCs w:val="24"/>
        </w:rPr>
        <w:t xml:space="preserve">ЗЛ</w:t>
      </w:r>
      <w:r>
        <w:rPr>
          <w:rFonts w:ascii="Arial" w:cs="Arial" w:eastAsia="Arial" w:hAnsi="Arial"/>
          <w:sz w:val="24"/>
          <w:szCs w:val="24"/>
        </w:rPr>
        <w:t xml:space="preserve">	</w:t>
      </w:r>
      <w:r>
        <w:rPr>
          <w:rFonts w:ascii="Arial" w:cs="Arial" w:eastAsia="Arial" w:hAnsi="Arial"/>
          <w:sz w:val="24"/>
          <w:szCs w:val="24"/>
        </w:rPr>
        <w:t xml:space="preserve">Затронутые лица</w:t>
      </w:r>
    </w:p>
    <w:p>
      <w:pPr>
        <w:tabs>
          <w:tab w:val="right" w:pos="10178"/>
        </w:tabs>
        <w:spacing w:after="120"/>
      </w:pPr>
      <w:r>
        <w:rPr>
          <w:rFonts w:ascii="Arial" w:cs="Arial" w:eastAsia="Arial" w:hAnsi="Arial"/>
          <w:sz w:val="24"/>
          <w:szCs w:val="24"/>
        </w:rPr>
        <w:t xml:space="preserve">ЗУЛ</w:t>
      </w:r>
      <w:r>
        <w:rPr>
          <w:rFonts w:ascii="Arial" w:cs="Arial" w:eastAsia="Arial" w:hAnsi="Arial"/>
          <w:sz w:val="24"/>
          <w:szCs w:val="24"/>
        </w:rPr>
        <w:t xml:space="preserve">	</w:t>
      </w:r>
      <w:r>
        <w:rPr>
          <w:rFonts w:ascii="Arial" w:cs="Arial" w:eastAsia="Arial" w:hAnsi="Arial"/>
          <w:sz w:val="24"/>
          <w:szCs w:val="24"/>
        </w:rPr>
        <w:t xml:space="preserve">Затронутое уязвимое лицо</w:t>
      </w:r>
    </w:p>
    <w:p>
      <w:pPr>
        <w:tabs>
          <w:tab w:val="right" w:pos="10178"/>
        </w:tabs>
        <w:spacing w:after="120"/>
      </w:pPr>
      <w:r>
        <w:rPr>
          <w:rFonts w:ascii="Arial" w:cs="Arial" w:eastAsia="Arial" w:hAnsi="Arial"/>
          <w:sz w:val="24"/>
          <w:szCs w:val="24"/>
        </w:rPr>
        <w:t xml:space="preserve">ИА</w:t>
      </w:r>
      <w:r>
        <w:rPr>
          <w:rFonts w:ascii="Arial" w:cs="Arial" w:eastAsia="Arial" w:hAnsi="Arial"/>
          <w:sz w:val="24"/>
          <w:szCs w:val="24"/>
        </w:rPr>
        <w:t xml:space="preserve">	</w:t>
      </w:r>
      <w:r>
        <w:rPr>
          <w:rFonts w:ascii="Arial" w:cs="Arial" w:eastAsia="Arial" w:hAnsi="Arial"/>
          <w:sz w:val="24"/>
          <w:szCs w:val="24"/>
        </w:rPr>
        <w:t xml:space="preserve">Исполнительное агентство</w:t>
      </w:r>
    </w:p>
    <w:p>
      <w:pPr>
        <w:tabs>
          <w:tab w:val="right" w:pos="10178"/>
        </w:tabs>
        <w:spacing w:after="120"/>
      </w:pPr>
      <w:r>
        <w:rPr>
          <w:rFonts w:ascii="Arial" w:cs="Arial" w:eastAsia="Arial" w:hAnsi="Arial"/>
          <w:sz w:val="24"/>
          <w:szCs w:val="24"/>
        </w:rPr>
        <w:t xml:space="preserve">ИБП</w:t>
      </w:r>
      <w:r>
        <w:rPr>
          <w:rFonts w:ascii="Arial" w:cs="Arial" w:eastAsia="Arial" w:hAnsi="Arial"/>
          <w:sz w:val="24"/>
          <w:szCs w:val="24"/>
        </w:rPr>
        <w:t xml:space="preserve">	</w:t>
      </w:r>
      <w:r>
        <w:rPr>
          <w:rFonts w:ascii="Arial" w:cs="Arial" w:eastAsia="Arial" w:hAnsi="Arial"/>
          <w:sz w:val="24"/>
          <w:szCs w:val="24"/>
        </w:rPr>
        <w:t xml:space="preserve">Информационная брошюра по переселению</w:t>
      </w:r>
    </w:p>
    <w:p>
      <w:pPr>
        <w:tabs>
          <w:tab w:val="right" w:pos="10178"/>
        </w:tabs>
        <w:spacing w:after="120"/>
      </w:pPr>
      <w:r>
        <w:rPr>
          <w:rFonts w:ascii="Arial" w:cs="Arial" w:eastAsia="Arial" w:hAnsi="Arial"/>
          <w:sz w:val="24"/>
          <w:szCs w:val="24"/>
        </w:rPr>
        <w:t xml:space="preserve">ИБПП</w:t>
      </w:r>
      <w:r>
        <w:rPr>
          <w:rFonts w:ascii="Arial" w:cs="Arial" w:eastAsia="Arial" w:hAnsi="Arial"/>
          <w:sz w:val="24"/>
          <w:szCs w:val="24"/>
        </w:rPr>
        <w:t xml:space="preserve">	</w:t>
      </w:r>
      <w:r>
        <w:rPr>
          <w:rFonts w:ascii="Arial" w:cs="Arial" w:eastAsia="Arial" w:hAnsi="Arial"/>
          <w:sz w:val="24"/>
          <w:szCs w:val="24"/>
        </w:rPr>
        <w:t xml:space="preserve">Информационная брошюра по планированию переселения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ИЗП</w:t>
      </w:r>
      <w:r>
        <w:rPr>
          <w:rFonts w:ascii="Arial" w:cs="Arial" w:eastAsia="Arial" w:hAnsi="Arial"/>
          <w:sz w:val="24"/>
          <w:szCs w:val="24"/>
        </w:rPr>
        <w:t xml:space="preserve">	</w:t>
      </w:r>
      <w:r>
        <w:rPr>
          <w:rFonts w:ascii="Arial" w:cs="Arial" w:eastAsia="Arial" w:hAnsi="Arial"/>
          <w:sz w:val="24"/>
          <w:szCs w:val="24"/>
        </w:rPr>
        <w:t xml:space="preserve">Изъятие земли и переселение</w:t>
      </w:r>
    </w:p>
    <w:p>
      <w:pPr>
        <w:tabs>
          <w:tab w:val="right" w:pos="10178"/>
        </w:tabs>
        <w:spacing w:after="120"/>
      </w:pPr>
      <w:r>
        <w:rPr>
          <w:rFonts w:ascii="Arial" w:cs="Arial" w:eastAsia="Arial" w:hAnsi="Arial"/>
          <w:sz w:val="24"/>
          <w:szCs w:val="24"/>
        </w:rPr>
        <w:t xml:space="preserve">КВ</w:t>
      </w:r>
      <w:r>
        <w:rPr>
          <w:rFonts w:ascii="Arial" w:cs="Arial" w:eastAsia="Arial" w:hAnsi="Arial"/>
          <w:sz w:val="24"/>
          <w:szCs w:val="24"/>
        </w:rPr>
        <w:t xml:space="preserve">	</w:t>
      </w:r>
      <w:r>
        <w:rPr>
          <w:rFonts w:ascii="Arial" w:cs="Arial" w:eastAsia="Arial" w:hAnsi="Arial"/>
          <w:sz w:val="24"/>
          <w:szCs w:val="24"/>
        </w:rPr>
        <w:t xml:space="preserve">Коридор воздействия</w:t>
      </w:r>
    </w:p>
    <w:p>
      <w:pPr>
        <w:tabs>
          <w:tab w:val="right" w:pos="10178"/>
        </w:tabs>
        <w:spacing w:after="120"/>
      </w:pPr>
      <w:r>
        <w:rPr>
          <w:rFonts w:ascii="Arial" w:cs="Arial" w:eastAsia="Arial" w:hAnsi="Arial"/>
          <w:sz w:val="24"/>
          <w:szCs w:val="24"/>
        </w:rPr>
        <w:t xml:space="preserve">КИЗП</w:t>
      </w:r>
      <w:r>
        <w:rPr>
          <w:rFonts w:ascii="Arial" w:cs="Arial" w:eastAsia="Arial" w:hAnsi="Arial"/>
          <w:sz w:val="24"/>
          <w:szCs w:val="24"/>
        </w:rPr>
        <w:t xml:space="preserve">	</w:t>
      </w:r>
      <w:r>
        <w:rPr>
          <w:rFonts w:ascii="Arial" w:cs="Arial" w:eastAsia="Arial" w:hAnsi="Arial"/>
          <w:sz w:val="24"/>
          <w:szCs w:val="24"/>
        </w:rPr>
        <w:t xml:space="preserve">Комиссия по изъятию земли и переселению</w:t>
      </w:r>
    </w:p>
    <w:p>
      <w:pPr>
        <w:tabs>
          <w:tab w:val="right" w:pos="10178"/>
        </w:tabs>
        <w:spacing w:after="120"/>
      </w:pPr>
      <w:r>
        <w:rPr>
          <w:rFonts w:ascii="Arial" w:cs="Arial" w:eastAsia="Arial" w:hAnsi="Arial"/>
          <w:sz w:val="24"/>
          <w:szCs w:val="24"/>
        </w:rPr>
        <w:t xml:space="preserve">КИУ</w:t>
      </w:r>
      <w:r>
        <w:rPr>
          <w:rFonts w:ascii="Arial" w:cs="Arial" w:eastAsia="Arial" w:hAnsi="Arial"/>
          <w:sz w:val="24"/>
          <w:szCs w:val="24"/>
        </w:rPr>
        <w:t xml:space="preserve">	</w:t>
      </w:r>
      <w:r>
        <w:rPr>
          <w:rFonts w:ascii="Arial" w:cs="Arial" w:eastAsia="Arial" w:hAnsi="Arial"/>
          <w:sz w:val="24"/>
          <w:szCs w:val="24"/>
        </w:rPr>
        <w:t xml:space="preserve">Консультации и участие</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КСН</w:t>
      </w:r>
      <w:r>
        <w:rPr>
          <w:rFonts w:ascii="Arial" w:cs="Arial" w:eastAsia="Arial" w:hAnsi="Arial"/>
          <w:sz w:val="24"/>
          <w:szCs w:val="24"/>
        </w:rPr>
        <w:t xml:space="preserve">	</w:t>
      </w:r>
      <w:r>
        <w:rPr>
          <w:rFonts w:ascii="Arial" w:cs="Arial" w:eastAsia="Arial" w:hAnsi="Arial"/>
          <w:sz w:val="24"/>
          <w:szCs w:val="24"/>
        </w:rPr>
        <w:t xml:space="preserve">Консультант за строительным надзором</w:t>
      </w:r>
    </w:p>
    <w:p>
      <w:pPr>
        <w:tabs>
          <w:tab w:val="right" w:pos="10178"/>
        </w:tabs>
        <w:spacing w:after="120"/>
      </w:pPr>
      <w:r>
        <w:rPr>
          <w:rFonts w:ascii="Arial" w:cs="Arial" w:eastAsia="Arial" w:hAnsi="Arial"/>
          <w:sz w:val="24"/>
          <w:szCs w:val="24"/>
        </w:rPr>
        <w:t xml:space="preserve">М2</w:t>
      </w:r>
      <w:r>
        <w:rPr>
          <w:rFonts w:ascii="Arial" w:cs="Arial" w:eastAsia="Arial" w:hAnsi="Arial"/>
          <w:sz w:val="24"/>
          <w:szCs w:val="24"/>
        </w:rPr>
        <w:t xml:space="preserve">	</w:t>
      </w:r>
      <w:r>
        <w:rPr>
          <w:rFonts w:ascii="Arial" w:cs="Arial" w:eastAsia="Arial" w:hAnsi="Arial"/>
          <w:sz w:val="24"/>
          <w:szCs w:val="24"/>
        </w:rPr>
        <w:t xml:space="preserve">Квадратные метры</w:t>
      </w:r>
    </w:p>
    <w:p>
      <w:pPr>
        <w:tabs>
          <w:tab w:val="right" w:pos="10178"/>
        </w:tabs>
        <w:spacing w:after="120"/>
      </w:pPr>
      <w:r>
        <w:rPr>
          <w:rFonts w:ascii="Arial" w:cs="Arial" w:eastAsia="Arial" w:hAnsi="Arial"/>
          <w:sz w:val="24"/>
          <w:szCs w:val="24"/>
        </w:rPr>
        <w:t xml:space="preserve">МК</w:t>
      </w:r>
      <w:r>
        <w:rPr>
          <w:rFonts w:ascii="Arial" w:cs="Arial" w:eastAsia="Arial" w:hAnsi="Arial"/>
          <w:sz w:val="24"/>
          <w:szCs w:val="24"/>
        </w:rPr>
        <w:t xml:space="preserve">	</w:t>
      </w:r>
      <w:r>
        <w:rPr>
          <w:rFonts w:ascii="Arial" w:cs="Arial" w:eastAsia="Arial" w:hAnsi="Arial"/>
          <w:sz w:val="24"/>
          <w:szCs w:val="24"/>
        </w:rPr>
        <w:t xml:space="preserve">Местный координатор</w:t>
      </w:r>
    </w:p>
    <w:p>
      <w:pPr>
        <w:tabs>
          <w:tab w:val="right" w:pos="10178"/>
        </w:tabs>
        <w:spacing w:after="120"/>
      </w:pPr>
      <w:r>
        <w:rPr>
          <w:rFonts w:ascii="Arial" w:cs="Arial" w:eastAsia="Arial" w:hAnsi="Arial"/>
          <w:sz w:val="24"/>
          <w:szCs w:val="24"/>
        </w:rPr>
        <w:t xml:space="preserve">МРЖ</w:t>
      </w:r>
      <w:r>
        <w:rPr>
          <w:rFonts w:ascii="Arial" w:cs="Arial" w:eastAsia="Arial" w:hAnsi="Arial"/>
          <w:sz w:val="24"/>
          <w:szCs w:val="24"/>
        </w:rPr>
        <w:t xml:space="preserve">	</w:t>
      </w:r>
      <w:r>
        <w:rPr>
          <w:rFonts w:ascii="Arial" w:cs="Arial" w:eastAsia="Arial" w:hAnsi="Arial"/>
          <w:sz w:val="24"/>
          <w:szCs w:val="24"/>
        </w:rPr>
        <w:t xml:space="preserve">Механизм рассмотрения жалоб</w:t>
      </w:r>
    </w:p>
    <w:p>
      <w:pPr>
        <w:tabs>
          <w:tab w:val="right" w:pos="10178"/>
        </w:tabs>
        <w:spacing w:after="120"/>
      </w:pPr>
      <w:r>
        <w:rPr>
          <w:rFonts w:ascii="Arial" w:cs="Arial" w:eastAsia="Arial" w:hAnsi="Arial"/>
          <w:sz w:val="24"/>
          <w:szCs w:val="24"/>
        </w:rPr>
        <w:t xml:space="preserve">МСП</w:t>
      </w:r>
      <w:r>
        <w:rPr>
          <w:rFonts w:ascii="Arial" w:cs="Arial" w:eastAsia="Arial" w:hAnsi="Arial"/>
          <w:sz w:val="24"/>
          <w:szCs w:val="24"/>
        </w:rPr>
        <w:t xml:space="preserve">	</w:t>
      </w:r>
      <w:r>
        <w:rPr>
          <w:rFonts w:ascii="Arial" w:cs="Arial" w:eastAsia="Arial" w:hAnsi="Arial"/>
          <w:sz w:val="24"/>
          <w:szCs w:val="24"/>
        </w:rPr>
        <w:t xml:space="preserve">Международный специалист по переселению</w:t>
      </w:r>
    </w:p>
    <w:p>
      <w:pPr>
        <w:tabs>
          <w:tab w:val="right" w:pos="10178"/>
        </w:tabs>
        <w:spacing w:after="120"/>
      </w:pPr>
      <w:r>
        <w:rPr>
          <w:rFonts w:ascii="Arial" w:cs="Arial" w:eastAsia="Arial" w:hAnsi="Arial"/>
          <w:sz w:val="24"/>
          <w:szCs w:val="24"/>
        </w:rPr>
        <w:t xml:space="preserve">НСП</w:t>
      </w:r>
      <w:r>
        <w:rPr>
          <w:rFonts w:ascii="Arial" w:cs="Arial" w:eastAsia="Arial" w:hAnsi="Arial"/>
          <w:sz w:val="24"/>
          <w:szCs w:val="24"/>
        </w:rPr>
        <w:t xml:space="preserve">	</w:t>
      </w:r>
      <w:r>
        <w:rPr>
          <w:rFonts w:ascii="Arial" w:cs="Arial" w:eastAsia="Arial" w:hAnsi="Arial"/>
          <w:sz w:val="24"/>
          <w:szCs w:val="24"/>
        </w:rPr>
        <w:t xml:space="preserve">Национальный специалист по переселению</w:t>
      </w:r>
    </w:p>
    <w:p>
      <w:pPr>
        <w:tabs>
          <w:tab w:val="right" w:pos="10178"/>
        </w:tabs>
        <w:spacing w:after="120"/>
      </w:pPr>
      <w:r>
        <w:rPr>
          <w:rFonts w:ascii="Arial" w:cs="Arial" w:eastAsia="Arial" w:hAnsi="Arial"/>
          <w:sz w:val="24"/>
          <w:szCs w:val="24"/>
        </w:rPr>
        <w:t xml:space="preserve">МТД КР</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дорог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w:t>
      </w:r>
    </w:p>
    <w:p>
      <w:pPr>
        <w:tabs>
          <w:tab w:val="right" w:pos="10178"/>
        </w:tabs>
        <w:spacing w:after="120"/>
      </w:pPr>
      <w:r>
        <w:rPr>
          <w:rFonts w:ascii="Arial" w:cs="Arial" w:eastAsia="Arial" w:hAnsi="Arial"/>
          <w:sz w:val="24"/>
          <w:szCs w:val="24"/>
        </w:rPr>
        <w:t xml:space="preserve">НАОИ</w:t>
      </w:r>
      <w:r>
        <w:rPr>
          <w:rFonts w:ascii="Arial" w:cs="Arial" w:eastAsia="Arial" w:hAnsi="Arial"/>
          <w:sz w:val="24"/>
          <w:szCs w:val="24"/>
        </w:rPr>
        <w:t xml:space="preserve">	</w:t>
      </w:r>
      <w:r>
        <w:rPr>
          <w:rFonts w:ascii="Arial" w:cs="Arial" w:eastAsia="Arial" w:hAnsi="Arial"/>
          <w:sz w:val="24"/>
          <w:szCs w:val="24"/>
        </w:rPr>
        <w:t xml:space="preserve">Независимое агентство по оценке имущества</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Неправительственная организация</w:t>
      </w:r>
    </w:p>
    <w:p>
      <w:pPr>
        <w:tabs>
          <w:tab w:val="right" w:pos="10178"/>
        </w:tabs>
        <w:spacing w:after="120"/>
      </w:pPr>
      <w:r>
        <w:rPr>
          <w:rFonts w:ascii="Arial" w:cs="Arial" w:eastAsia="Arial" w:hAnsi="Arial"/>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Перемещенное лицо</w:t>
      </w:r>
    </w:p>
    <w:p>
      <w:pPr>
        <w:tabs>
          <w:tab w:val="right" w:pos="10178"/>
        </w:tabs>
        <w:spacing w:after="120"/>
      </w:pPr>
      <w:r>
        <w:rPr>
          <w:rFonts w:ascii="Arial" w:cs="Arial" w:eastAsia="Arial" w:hAnsi="Arial"/>
          <w:sz w:val="24"/>
          <w:szCs w:val="24"/>
        </w:rPr>
        <w:t xml:space="preserve">ПОД</w:t>
      </w:r>
      <w:r>
        <w:rPr>
          <w:rFonts w:ascii="Arial" w:cs="Arial" w:eastAsia="Arial" w:hAnsi="Arial"/>
          <w:sz w:val="24"/>
          <w:szCs w:val="24"/>
        </w:rPr>
        <w:t xml:space="preserve">	</w:t>
      </w:r>
      <w:r>
        <w:rPr>
          <w:rFonts w:ascii="Arial" w:cs="Arial" w:eastAsia="Arial" w:hAnsi="Arial"/>
          <w:sz w:val="24"/>
          <w:szCs w:val="24"/>
        </w:rPr>
        <w:t xml:space="preserve">Полоса отвода дороги</w:t>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Предварительное проектирование</w:t>
      </w:r>
    </w:p>
    <w:p>
      <w:pPr>
        <w:tabs>
          <w:tab w:val="right" w:pos="10178"/>
        </w:tabs>
        <w:spacing w:after="120"/>
      </w:pPr>
      <w:r>
        <w:rPr>
          <w:rFonts w:ascii="Arial" w:cs="Arial" w:eastAsia="Arial" w:hAnsi="Arial"/>
          <w:sz w:val="24"/>
          <w:szCs w:val="24"/>
        </w:rPr>
        <w:t xml:space="preserve">ППЗМ</w:t>
      </w:r>
      <w:r>
        <w:rPr>
          <w:rFonts w:ascii="Arial" w:cs="Arial" w:eastAsia="Arial" w:hAnsi="Arial"/>
          <w:sz w:val="24"/>
          <w:szCs w:val="24"/>
        </w:rPr>
        <w:t xml:space="preserve">	</w:t>
      </w:r>
      <w:r>
        <w:rPr>
          <w:rFonts w:ascii="Arial" w:cs="Arial" w:eastAsia="Arial" w:hAnsi="Arial"/>
          <w:sz w:val="24"/>
          <w:szCs w:val="24"/>
        </w:rPr>
        <w:t xml:space="preserve">Положение о политике по защитным мерам</w:t>
      </w:r>
    </w:p>
    <w:p>
      <w:pPr>
        <w:tabs>
          <w:tab w:val="right" w:pos="10178"/>
        </w:tabs>
        <w:spacing w:after="120"/>
      </w:pPr>
      <w:r>
        <w:rPr>
          <w:rFonts w:ascii="Arial" w:cs="Arial" w:eastAsia="Arial" w:hAnsi="Arial"/>
          <w:sz w:val="24"/>
          <w:szCs w:val="24"/>
        </w:rPr>
        <w:t xml:space="preserve">ПИЗП</w:t>
      </w:r>
      <w:r>
        <w:rPr>
          <w:rFonts w:ascii="Arial" w:cs="Arial" w:eastAsia="Arial" w:hAnsi="Arial"/>
          <w:sz w:val="24"/>
          <w:szCs w:val="24"/>
        </w:rPr>
        <w:t xml:space="preserve">	</w:t>
      </w:r>
      <w:r>
        <w:rPr>
          <w:rFonts w:ascii="Arial" w:cs="Arial" w:eastAsia="Arial" w:hAnsi="Arial"/>
          <w:sz w:val="24"/>
          <w:szCs w:val="24"/>
        </w:rPr>
        <w:t xml:space="preserve">План изъятия земель и переселения</w:t>
      </w:r>
    </w:p>
    <w:p>
      <w:pPr>
        <w:tabs>
          <w:tab w:val="right" w:pos="10178"/>
        </w:tabs>
        <w:spacing w:after="120"/>
      </w:pPr>
      <w:r>
        <w:rPr>
          <w:rFonts w:ascii="Arial" w:cs="Arial" w:eastAsia="Arial" w:hAnsi="Arial"/>
          <w:sz w:val="24"/>
          <w:szCs w:val="24"/>
        </w:rPr>
        <w:t xml:space="preserve">ПТП</w:t>
      </w:r>
      <w:r>
        <w:rPr>
          <w:rFonts w:ascii="Arial" w:cs="Arial" w:eastAsia="Arial" w:hAnsi="Arial"/>
          <w:sz w:val="24"/>
          <w:szCs w:val="24"/>
        </w:rPr>
        <w:t xml:space="preserve">	</w:t>
      </w:r>
      <w:r>
        <w:rPr>
          <w:rFonts w:ascii="Arial" w:cs="Arial" w:eastAsia="Arial" w:hAnsi="Arial"/>
          <w:sz w:val="24"/>
          <w:szCs w:val="24"/>
        </w:rPr>
        <w:t xml:space="preserve">Подробное техническое проектирование</w:t>
      </w:r>
    </w:p>
    <w:p>
      <w:pPr>
        <w:tabs>
          <w:tab w:val="right" w:pos="10178"/>
        </w:tabs>
        <w:spacing w:after="120"/>
      </w:pPr>
      <w:r>
        <w:rPr>
          <w:rFonts w:ascii="Arial" w:cs="Arial" w:eastAsia="Arial" w:hAnsi="Arial"/>
          <w:sz w:val="24"/>
          <w:szCs w:val="24"/>
        </w:rPr>
        <w:t xml:space="preserve">СОВ</w:t>
      </w:r>
      <w:r>
        <w:rPr>
          <w:rFonts w:ascii="Arial" w:cs="Arial" w:eastAsia="Arial" w:hAnsi="Arial"/>
          <w:sz w:val="24"/>
          <w:szCs w:val="24"/>
        </w:rPr>
        <w:t xml:space="preserve">	</w:t>
      </w:r>
      <w:r>
        <w:rPr>
          <w:rFonts w:ascii="Arial" w:cs="Arial" w:eastAsia="Arial" w:hAnsi="Arial"/>
          <w:sz w:val="24"/>
          <w:szCs w:val="24"/>
        </w:rPr>
        <w:t xml:space="preserve">Справка об отсутствии возражений</w:t>
      </w:r>
    </w:p>
    <w:p>
      <w:pPr>
        <w:tabs>
          <w:tab w:val="right" w:pos="10178"/>
        </w:tabs>
        <w:spacing w:after="120"/>
      </w:pPr>
      <w:r>
        <w:rPr>
          <w:rFonts w:ascii="Arial" w:cs="Arial" w:eastAsia="Arial" w:hAnsi="Arial"/>
          <w:sz w:val="24"/>
          <w:szCs w:val="24"/>
        </w:rPr>
        <w:t xml:space="preserve">СЭИ</w:t>
      </w:r>
      <w:r>
        <w:rPr>
          <w:rFonts w:ascii="Arial" w:cs="Arial" w:eastAsia="Arial" w:hAnsi="Arial"/>
          <w:sz w:val="24"/>
          <w:szCs w:val="24"/>
        </w:rPr>
        <w:t xml:space="preserve">	</w:t>
      </w:r>
      <w:r>
        <w:rPr>
          <w:rFonts w:ascii="Arial" w:cs="Arial" w:eastAsia="Arial" w:hAnsi="Arial"/>
          <w:sz w:val="24"/>
          <w:szCs w:val="24"/>
        </w:rPr>
        <w:t xml:space="preserve">Социально-экономическое исследование</w:t>
      </w:r>
    </w:p>
    <w:p>
      <w:pPr>
        <w:tabs>
          <w:tab w:val="right" w:pos="10178"/>
        </w:tabs>
        <w:spacing w:after="120"/>
      </w:pPr>
      <w:r>
        <w:rPr>
          <w:rFonts w:ascii="Arial" w:cs="Arial" w:eastAsia="Arial" w:hAnsi="Arial"/>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sz w:val="24"/>
          <w:szCs w:val="24"/>
        </w:rPr>
        <w:t xml:space="preserve">ТППП</w:t>
      </w:r>
      <w:r>
        <w:rPr>
          <w:rFonts w:ascii="Arial" w:cs="Arial" w:eastAsia="Arial" w:hAnsi="Arial"/>
          <w:sz w:val="24"/>
          <w:szCs w:val="24"/>
        </w:rPr>
        <w:t xml:space="preserve">	</w:t>
      </w:r>
      <w:r>
        <w:rPr>
          <w:rFonts w:ascii="Arial" w:cs="Arial" w:eastAsia="Arial" w:hAnsi="Arial"/>
          <w:sz w:val="24"/>
          <w:szCs w:val="24"/>
        </w:rPr>
        <w:t xml:space="preserve">Техническая помощь в подготовке проекта</w:t>
      </w:r>
    </w:p>
    <w:p>
      <w:pPr>
        <w:tabs>
          <w:tab w:val="right" w:pos="10178"/>
        </w:tabs>
        <w:spacing w:after="120"/>
      </w:pPr>
      <w:r>
        <w:rPr>
          <w:rFonts w:ascii="Arial" w:cs="Arial" w:eastAsia="Arial" w:hAnsi="Arial"/>
          <w:sz w:val="24"/>
          <w:szCs w:val="24"/>
        </w:rPr>
        <w:t xml:space="preserve">УАД</w:t>
      </w:r>
      <w:r>
        <w:rPr>
          <w:rFonts w:ascii="Arial" w:cs="Arial" w:eastAsia="Arial" w:hAnsi="Arial"/>
          <w:sz w:val="24"/>
          <w:szCs w:val="24"/>
        </w:rPr>
        <w:t xml:space="preserve">	</w:t>
      </w:r>
      <w:r>
        <w:rPr>
          <w:rFonts w:ascii="Arial" w:cs="Arial" w:eastAsia="Arial" w:hAnsi="Arial"/>
          <w:sz w:val="24"/>
          <w:szCs w:val="24"/>
        </w:rPr>
        <w:t xml:space="preserve">Управление автомобильных дорог (Подразделение Министерства транспорта и дорог (МТИД) областного уровня)</w:t>
      </w:r>
    </w:p>
    <w:p>
      <w:pPr>
        <w:tabs>
          <w:tab w:val="right" w:pos="10178"/>
        </w:tabs>
        <w:spacing w:after="120"/>
      </w:pPr>
      <w:r>
        <w:rPr>
          <w:rFonts w:ascii="Arial" w:cs="Arial" w:eastAsia="Arial" w:hAnsi="Arial"/>
          <w:sz w:val="24"/>
          <w:szCs w:val="24"/>
        </w:rPr>
        <w:t xml:space="preserve">УДХВП</w:t>
      </w:r>
      <w:r>
        <w:rPr>
          <w:rFonts w:ascii="Arial" w:cs="Arial" w:eastAsia="Arial" w:hAnsi="Arial"/>
          <w:sz w:val="24"/>
          <w:szCs w:val="24"/>
        </w:rPr>
        <w:t xml:space="preserve">	</w:t>
      </w:r>
      <w:r>
        <w:rPr>
          <w:rFonts w:ascii="Arial" w:cs="Arial" w:eastAsia="Arial" w:hAnsi="Arial"/>
          <w:sz w:val="24"/>
          <w:szCs w:val="24"/>
        </w:rPr>
        <w:t xml:space="preserve">Уязвимое домохозяйство, попавшее под воздействие проекта</w:t>
      </w:r>
    </w:p>
    <w:p>
      <w:pPr>
        <w:tabs>
          <w:tab w:val="right" w:pos="10178"/>
        </w:tabs>
        <w:spacing w:after="120"/>
      </w:pPr>
      <w:r>
        <w:rPr>
          <w:rFonts w:ascii="Arial" w:cs="Arial" w:eastAsia="Arial" w:hAnsi="Arial"/>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Организация центральноазиатского регионального экономического сотрудничества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Глоссарий и определение терминов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5"/>
        <w:gridCol w:w="6703"/>
      </w:tblGrid>
      <w:tr>
        <w:tc>
          <w:tcPr>
            <w:tcW w:type="dxa" w:w="34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Айылный Аймак</w:t>
            </w:r>
          </w:p>
        </w:tc>
        <w:tc>
          <w:tcPr>
            <w:tcW w:type="dxa" w:w="6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Административно-территориальная единица, включающая одну или несколько населенных пунктов, где местное сообщество осуществляет местное самоуправление в соответствии с Конституцией и законами Кыргызской Республики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Затронутые проектом/перемещенные лица ЗЛ/ПЛ</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контексте вынужденного переселения под затронутыми проектом/перемещенными лицами подразумеваются физически перемещенные лица (переселение, потеря земли под жилую застройку или потеря жилья) и/или экономически перемещенные лица (потеря земли, имущества, доступа к активам, источникам дохода или средствам к существованию) в результате (i) вынужденного изъятия земли или (ii) вынужденных ограничений на использование земли или на доступ к паркам и охраняемым территориям, установленным законом" (ППЗМ АБР 2009). Данное понятие подразумевает под собой людей, затронутых проектом в результате изъятия земель, переселения или потери дохода, включая какое-либо лицо, домашнее хозяйство, компании, а также государственные предприятия и частные юридические лица. Таким образом, ЗЛ включают в себя: (i) лиц, непосредственно затронутых проектом в результате приобретения полосы отвода или областью строительных работ; (ii) лиц, чьи сельскохозяйственные угодья или другие производственные активы, такие как деревья или сельскохозяйственные культуры, затронуты проектом; (iii) лиц, чей бизнес затронут проектом, вызвав потерю дохода из-за данного воздействия; (iv) лиц, которые теряют работу/занятость в результате воздействия проекта, а также (v) лиц, которые теряют доступ к общественным ресурсам/собственности в результате проекта</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Детальные замеры имущества (ДЗИ)</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Основываясь на утвержденном детальном техническом проектировании, данный вид деятельности включает в себя завершение и/или проверку результатов инвентаризации потерь (ИП), серьезности воздействий и списка ЗЛ/ПЛ. Окончательная стоимость переселения может быть определена после завершения ДЗИ, что означает подробную инвентаризацию потерь, которая завершается после детального проектирования и маркировки границ проекта на месте</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Заказчик</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Кыргызской Республики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наличными, безналичными или в натуральном выражении для компенсации потерь земли, жилья, доходов и других активов, вызванных проектом. Компенсация основана на принципе восстановительной стоимости, который является методом оценки активов для возмещения потерь по текущим рыночным ставкам, плюс любые косвенные затраты, такие как административные расходы, налоги, расходы на регистрацию и оформление прав собственности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Крайний срок</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установленную в соответствии с распоряжением Правительства или каким-либо другим процессом, т.е. это может быть дата, приуроченная к дате завершения Детальных замеров имущества (ДЗИ) или переписи и социально-экономического обследования затронутых проектом "Реконструкция автомобильной дороги Бишкек-Ош, Фаза IV", участок Маданият - Джалал-Абад (проект) домохозяйств/людей. Как правило, ЗЛ информируются о крайнем сроке, и люди, продолжающие проживать в зоне проекта после крайнего срока, лишаются права получения компенсации и помощи в рамках проекта</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Причитающиеся выплаты</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Обозначают ряд мер, включающих компенсацию, поддержку в восстановлении дохода, помощь в перемещении, замену дохода, поддержку в переселении и т.д., которые предоставляются ЗЛ/ПЛ в зависимости от типа и серьезности их потерь с целью восстановления их социально-экономической базы</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имеющие право на получение компенсации/пособий</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проживавшее на территории реализации Проекта до установленного крайнего срока, которое столкнулось с (i) потерей жилья, (ii) потерей активов или возможности доступа к таким активам, навсегда или временно, или (iii) потерей источников дохода или средств к существованию, независимо от того, будет ли на переезд распространяться право компенсации и/или помощь</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Восстановление дохода</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восстановление источников дохода и средств к существованию для затронутых проектом домохозяйств</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Инвентаризация потерь (ИП)</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 процесс идентификации основных средств (т.е. земли, используемые для жилой застройки, торговли, сельского хозяйства; жилые объекты; киоски, ларьки и магазины; вторичные объекты, такие как заборы, ворота, деревья и т.д., имеющие коммерческую ценность, а также являющиеся источниками дохода и средствами к существованию внутри полосы отвода в рамках Проекта (территория проекта)), а также их оценки, установления собственников, определения их точного местоположения и расчета затрат на их замену. Кроме того, устанавливаются активы и средства, подвергшиеся сильному воздействию, а также производственные возможности ЗЛ</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Изъятие земель</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процесс, в соответствии с которым государственное учреждение вынуждает отдельное лицо, домашнее хозяйство, компанию или частное учреждение к отчуждению всей (или части) принадлежащей такому лицу земли и передачи ее в собственность и владение данному учреждению в общественных целях в обмен на справедливую компенсацию</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КРАТКИЙ ОБЗОР ПРОЕКТА</w:t>
      </w:r>
    </w:p>
    <w:p>
      <w:pPr>
        <w:spacing w:after="120"/>
        <w:jc w:val="both"/>
      </w:pPr>
      <w:r>
        <w:rPr>
          <w:rFonts w:ascii="Arial" w:cs="Arial" w:eastAsia="Arial" w:hAnsi="Arial"/>
          <w:b/>
          <w:bCs/>
          <w:sz w:val="24"/>
          <w:szCs w:val="24"/>
        </w:rPr>
        <w:t xml:space="preserve">А. Введение</w:t>
      </w:r>
    </w:p>
    <w:p>
      <w:pPr>
        <w:spacing w:after="120"/>
        <w:jc w:val="both"/>
      </w:pPr>
      <w:r>
        <w:rPr>
          <w:rFonts w:ascii="Arial" w:cs="Arial" w:eastAsia="Arial" w:hAnsi="Arial"/>
          <w:sz w:val="24"/>
          <w:szCs w:val="24"/>
        </w:rPr>
        <w:t xml:space="preserve">1. Дорога Бишкек-Ош является частью основного международного автомобильного коридора и сети Коридора Центрально-Азиатского регионального экономического сотрудничества (ЦАРЭС) 3 в Кыргызской Республике (КР). Данная дорожная сеть связывает страну со многими соседними странами, охватывает четыре из семи областей Кыргызской Республики и обслуживает около 2-х миллионов человек. Дорога напрямую связывает южную и северную части страны и способствует ее социальной, политической и экономической целостности. Кроме того, модернизация дороги Бишкек-Ош предполагает задействование беднейших слоев населения, нуждающегося в доступе к услугам, товарам и рынкам, улучшение развитости региональной сети дорожного транспорта и повышение безопасности для всех участников дорожного движения. Подчеркивая потребности в улучшении данного автомобильного коридора, АБР, JICA и ИБР в разное время помогали Правительству в восстановлении более 539 км (около 82%) дороги Бишкек-Ош. Но два участка - дорога Бишкек - Кара-Балта и Маданият - Джалал-Абад - также нуждающиеся в срочной модернизации, остались без внимания из-за финансовых трудностей. Учитывая важность данного аспекта и на основании запроса Правительства, Евразийский фонд стабилизации и развития (ЕФСР) предоставил заем для реконструкции участка дороги протяженностью 67 км от села Маданият до города Джалал-Абад, и данный проект в настоящее время находится в стадии реализации. Указанный участок дороги (Участок № 2) начинается на пересечении дороги Бишкек-Ош с разветвлением в Узбекистан на 503-м км и заканчивается на пересечении дороги Джалал-Абад - Узген. Этот участок автомобильного коридора проходит через три района, а именно, Ноокенский, Базар-Коргонский и Сузакский, вызывая необходимость переселения и изъятия земель у определенной части населения.</w:t>
      </w:r>
    </w:p>
    <w:p>
      <w:pPr>
        <w:spacing w:after="120"/>
        <w:jc w:val="both"/>
      </w:pPr>
      <w:r>
        <w:rPr>
          <w:rFonts w:ascii="Arial" w:cs="Arial" w:eastAsia="Arial" w:hAnsi="Arial"/>
          <w:b/>
          <w:bCs/>
          <w:sz w:val="24"/>
          <w:szCs w:val="24"/>
        </w:rPr>
        <w:t xml:space="preserve">B. Масштаб И3П и ПИЗП</w:t>
      </w:r>
    </w:p>
    <w:p>
      <w:pPr>
        <w:spacing w:after="120"/>
        <w:jc w:val="both"/>
      </w:pPr>
      <w:r>
        <w:rPr>
          <w:rFonts w:ascii="Arial" w:cs="Arial" w:eastAsia="Arial" w:hAnsi="Arial"/>
          <w:sz w:val="24"/>
          <w:szCs w:val="24"/>
        </w:rPr>
        <w:t xml:space="preserve">2. С целью соблюдения требования законодательства Кыргызской Республики и требований Положения о политике по защитным мерам (ППЗМ АБР), КСН должен подготовить/обновить ПИЗП проекта на основе ПИЗП, подготовленного на стадии технико-экономического обоснования. Кроме того, во время обновления ПИЗП КСН рассмотрел все воздействия проекта на ИЗП, выявленные на основе последних ДЗИ, проведенных Районной межведомственной комиссией совместно с ГУ Кадастр (Госрегистр) на основе текущего дизайна проекта в августе 2019 года. Основная цель ПИЗП - улучшить или, по крайней мере, восстановить средства к существованию и уровень жизни домохозяйств, затронутых в результате реализации проекта, с выявлением лиц, подпадающих под воздействие проекта, и оказанием им помощи в восстановлении средств к существованию.</w:t>
      </w:r>
    </w:p>
    <w:p>
      <w:pPr>
        <w:spacing w:after="120"/>
        <w:jc w:val="both"/>
      </w:pPr>
      <w:r>
        <w:rPr>
          <w:rFonts w:ascii="Arial" w:cs="Arial" w:eastAsia="Arial" w:hAnsi="Arial"/>
          <w:sz w:val="24"/>
          <w:szCs w:val="24"/>
        </w:rPr>
        <w:t xml:space="preserve">3. По результатам работы вышеуказанной комиссии совместно с ГУ Кадастр (Госрегистр) было выявлено 266 ДПВ попавших под воздействие проекта в 257 объектах недвижимости, в том числе государственные и муниципальные объекты - 4 единицы.</w:t>
      </w:r>
    </w:p>
    <w:p>
      <w:pPr>
        <w:spacing w:after="120"/>
        <w:jc w:val="both"/>
      </w:pPr>
      <w:r>
        <w:rPr>
          <w:rFonts w:ascii="Arial" w:cs="Arial" w:eastAsia="Arial" w:hAnsi="Arial"/>
          <w:sz w:val="24"/>
          <w:szCs w:val="24"/>
        </w:rPr>
        <w:t xml:space="preserve">В результате реализации Проекта 241 домохозяйство потеряет 25789,87 м2 земельных участков в населенных пунктах (земельные участки площадью 25765,97 м2 в собственности 239 домохозяйств, самовольно занятый муниципальный земельный участок площадью 12 м2 находится в пользовании одного домохозяйства и одно домохозяйство арендует муниципальный земельный участок площадью 11,9 м2). Под воздействие проекта подпадают 4 муниципальных земельных участка площадью 1625,7 м2. 4 домохозяйства потеряют 3799 м2 сельскохозяйственных земельных участков (сады) на праве частной собственности.</w:t>
      </w:r>
    </w:p>
    <w:p>
      <w:pPr>
        <w:spacing w:after="120"/>
        <w:jc w:val="both"/>
      </w:pPr>
      <w:r>
        <w:rPr>
          <w:rFonts w:ascii="Arial" w:cs="Arial" w:eastAsia="Arial" w:hAnsi="Arial"/>
          <w:sz w:val="24"/>
          <w:szCs w:val="24"/>
        </w:rPr>
        <w:t xml:space="preserve">12 домохозяйств потеряют 14 жилых домов, площадью застройки 761,6 м2.</w:t>
      </w:r>
    </w:p>
    <w:p>
      <w:pPr>
        <w:spacing w:after="120"/>
        <w:jc w:val="both"/>
      </w:pPr>
      <w:r>
        <w:rPr>
          <w:rFonts w:ascii="Arial" w:cs="Arial" w:eastAsia="Arial" w:hAnsi="Arial"/>
          <w:sz w:val="24"/>
          <w:szCs w:val="24"/>
        </w:rPr>
        <w:t xml:space="preserve">77 домохозяйств потеряют 177 строений вспомогательных построек, площадью застройки 556,6 м2 на праве частной собственности.</w:t>
      </w:r>
    </w:p>
    <w:p>
      <w:pPr>
        <w:spacing w:after="120"/>
        <w:jc w:val="both"/>
      </w:pPr>
      <w:r>
        <w:rPr>
          <w:rFonts w:ascii="Arial" w:cs="Arial" w:eastAsia="Arial" w:hAnsi="Arial"/>
          <w:sz w:val="24"/>
          <w:szCs w:val="24"/>
        </w:rPr>
        <w:t xml:space="preserve">На одном муниципальном объекте будет потерян один навес, площадью застройки 20 м2.</w:t>
      </w:r>
    </w:p>
    <w:p>
      <w:pPr>
        <w:spacing w:after="120"/>
        <w:jc w:val="both"/>
      </w:pPr>
      <w:r>
        <w:rPr>
          <w:rFonts w:ascii="Arial" w:cs="Arial" w:eastAsia="Arial" w:hAnsi="Arial"/>
          <w:sz w:val="24"/>
          <w:szCs w:val="24"/>
        </w:rPr>
        <w:t xml:space="preserve">5 домохозяйств потеряют 5 коммерческих строений общественного питания, площадью застройки 272,7 м2.</w:t>
      </w:r>
    </w:p>
    <w:p>
      <w:pPr>
        <w:spacing w:after="120"/>
        <w:jc w:val="both"/>
      </w:pPr>
      <w:r>
        <w:rPr>
          <w:rFonts w:ascii="Arial" w:cs="Arial" w:eastAsia="Arial" w:hAnsi="Arial"/>
          <w:sz w:val="24"/>
          <w:szCs w:val="24"/>
        </w:rPr>
        <w:t xml:space="preserve">27 домохозяйств потеряют 31 коммерческое строение, предназначенное для осуществления торговли, площадью застройки 1124,8 м2 на праве частной собственности.</w:t>
      </w:r>
    </w:p>
    <w:p>
      <w:pPr>
        <w:spacing w:after="120"/>
        <w:jc w:val="both"/>
      </w:pPr>
      <w:r>
        <w:rPr>
          <w:rFonts w:ascii="Arial" w:cs="Arial" w:eastAsia="Arial" w:hAnsi="Arial"/>
          <w:sz w:val="24"/>
          <w:szCs w:val="24"/>
        </w:rPr>
        <w:t xml:space="preserve">На 2-х муниципальных земельных участках потеряются строения торговли, площадью застройки 64,17 м2.</w:t>
      </w:r>
    </w:p>
    <w:p>
      <w:pPr>
        <w:spacing w:after="120"/>
        <w:jc w:val="both"/>
      </w:pPr>
      <w:r>
        <w:rPr>
          <w:rFonts w:ascii="Arial" w:cs="Arial" w:eastAsia="Arial" w:hAnsi="Arial"/>
          <w:sz w:val="24"/>
          <w:szCs w:val="24"/>
        </w:rPr>
        <w:t xml:space="preserve">1 домохозяйство потеряет коммерческое строение - вулканизация, площадью застройки 11,6 м2 на праве частной собственности.</w:t>
      </w:r>
    </w:p>
    <w:p>
      <w:pPr>
        <w:spacing w:after="120"/>
        <w:jc w:val="both"/>
      </w:pPr>
      <w:r>
        <w:rPr>
          <w:rFonts w:ascii="Arial" w:cs="Arial" w:eastAsia="Arial" w:hAnsi="Arial"/>
          <w:sz w:val="24"/>
          <w:szCs w:val="24"/>
        </w:rPr>
        <w:t xml:space="preserve">34 домохозяйств потеряют объекты предпринимательской деятельности и прекращают бизнес.</w:t>
      </w:r>
    </w:p>
    <w:p>
      <w:pPr>
        <w:spacing w:after="120"/>
        <w:jc w:val="both"/>
      </w:pPr>
      <w:r>
        <w:rPr>
          <w:rFonts w:ascii="Arial" w:cs="Arial" w:eastAsia="Arial" w:hAnsi="Arial"/>
          <w:sz w:val="24"/>
          <w:szCs w:val="24"/>
        </w:rPr>
        <w:t xml:space="preserve">4 домохозяйства потеряют замощения (покрытие), площадью застройки 246,4 м2.</w:t>
      </w:r>
    </w:p>
    <w:p>
      <w:pPr>
        <w:spacing w:after="120"/>
        <w:jc w:val="both"/>
      </w:pPr>
      <w:r>
        <w:rPr>
          <w:rFonts w:ascii="Arial" w:cs="Arial" w:eastAsia="Arial" w:hAnsi="Arial"/>
          <w:sz w:val="24"/>
          <w:szCs w:val="24"/>
        </w:rPr>
        <w:t xml:space="preserve">154 домохозяйств потеряют ограждения и 90 домохозяйств потеряют ворота общей длиной 5786,57 п.м на праве частной собственности.</w:t>
      </w:r>
    </w:p>
    <w:p>
      <w:pPr>
        <w:spacing w:after="120"/>
        <w:jc w:val="both"/>
      </w:pPr>
      <w:r>
        <w:rPr>
          <w:rFonts w:ascii="Arial" w:cs="Arial" w:eastAsia="Arial" w:hAnsi="Arial"/>
          <w:sz w:val="24"/>
          <w:szCs w:val="24"/>
        </w:rPr>
        <w:t xml:space="preserve">На муниципальных и государственных земельных участках будет затронуто два ограждения длиной 160 п.м.</w:t>
      </w:r>
    </w:p>
    <w:p>
      <w:pPr>
        <w:spacing w:after="120"/>
        <w:jc w:val="both"/>
      </w:pPr>
      <w:r>
        <w:rPr>
          <w:rFonts w:ascii="Arial" w:cs="Arial" w:eastAsia="Arial" w:hAnsi="Arial"/>
          <w:sz w:val="24"/>
          <w:szCs w:val="24"/>
        </w:rPr>
        <w:t xml:space="preserve">18 домохозяйств потеряют 18 резервуаров для воды объемом 176,2 м3.</w:t>
      </w:r>
    </w:p>
    <w:p>
      <w:pPr>
        <w:spacing w:after="120"/>
        <w:jc w:val="both"/>
      </w:pPr>
      <w:r>
        <w:rPr>
          <w:rFonts w:ascii="Arial" w:cs="Arial" w:eastAsia="Arial" w:hAnsi="Arial"/>
          <w:sz w:val="24"/>
          <w:szCs w:val="24"/>
        </w:rPr>
        <w:t xml:space="preserve">11 домохозяйств потеряют 11 тандыров.</w:t>
      </w:r>
    </w:p>
    <w:p>
      <w:pPr>
        <w:spacing w:after="120"/>
        <w:jc w:val="both"/>
      </w:pPr>
      <w:r>
        <w:rPr>
          <w:rFonts w:ascii="Arial" w:cs="Arial" w:eastAsia="Arial" w:hAnsi="Arial"/>
          <w:sz w:val="24"/>
          <w:szCs w:val="24"/>
        </w:rPr>
        <w:t xml:space="preserve">2 домохозяйства потеряют крыльцо, площадью застройки 22,6 м2.</w:t>
      </w:r>
    </w:p>
    <w:p>
      <w:pPr>
        <w:spacing w:after="120"/>
        <w:jc w:val="both"/>
      </w:pPr>
      <w:r>
        <w:rPr>
          <w:rFonts w:ascii="Arial" w:cs="Arial" w:eastAsia="Arial" w:hAnsi="Arial"/>
          <w:sz w:val="24"/>
          <w:szCs w:val="24"/>
        </w:rPr>
        <w:t xml:space="preserve">5 домохозяйств потеряют 6 фундаментов незавершенного строительства, площадью застройки 216,7 м2.</w:t>
      </w:r>
    </w:p>
    <w:p>
      <w:pPr>
        <w:spacing w:after="120"/>
        <w:jc w:val="both"/>
      </w:pPr>
      <w:r>
        <w:rPr>
          <w:rFonts w:ascii="Arial" w:cs="Arial" w:eastAsia="Arial" w:hAnsi="Arial"/>
          <w:sz w:val="24"/>
          <w:szCs w:val="24"/>
        </w:rPr>
        <w:t xml:space="preserve">116 домохозяйств потеряют 1451 единиц зеленых насаждений (621 шт. - плодовых деревьев, и 830 шт. - не плодовых деревьев, в том числе 54 кустов роз).</w:t>
      </w:r>
    </w:p>
    <w:p>
      <w:pPr>
        <w:spacing w:after="120"/>
        <w:jc w:val="both"/>
      </w:pPr>
      <w:r>
        <w:rPr>
          <w:rFonts w:ascii="Arial" w:cs="Arial" w:eastAsia="Arial" w:hAnsi="Arial"/>
          <w:b/>
          <w:bCs/>
          <w:sz w:val="24"/>
          <w:szCs w:val="24"/>
        </w:rPr>
        <w:t xml:space="preserve">С. Воздействие проекта на отвод земель</w:t>
      </w:r>
    </w:p>
    <w:p>
      <w:pPr>
        <w:spacing w:after="120"/>
        <w:jc w:val="both"/>
      </w:pPr>
      <w:r>
        <w:rPr>
          <w:rFonts w:ascii="Arial" w:cs="Arial" w:eastAsia="Arial" w:hAnsi="Arial"/>
          <w:sz w:val="24"/>
          <w:szCs w:val="24"/>
        </w:rPr>
        <w:t xml:space="preserve">4. Воздействие проекта на изъятие земель было выявлено в результате детальных замеров имущества, принадлежащего различным домашним хозяйствам и сторонам, которые были проведены в период с июля по август 2019 года. Результаты ДЗИ указывают на то, что изъятие земель окажет существенное влияние на сельское хозяйство/растениеводство, жилые объекты и объекты предпринимательства в количестве 266 ДХ и 4 объекта, находящихся в государственной и муниципальной собственности, охватывая 13 поселков трех районов, затрагиваемых проектом, а именно: Ноокенского, Базар-Коргонского и Сузакского. Общая численность населения указанных 266 домохозяйств составляет около 1724 человек. В общей сложности около 31214,57 м2 земель потребуют отвода на постоянной основе для различных целей использования, из которых 29588,87 м2 принадлежат 245 ДХ. Из общего числа 266 домохозяйств 1 незаконно использует около 12 м2 земли, еще одно домохозяйство использует земельный участок площадью 11,9 м2 по договору аренды только для коммерческих целей и 1625,7 м2 земли находятся в государственной и муниципальной собственности.</w:t>
      </w:r>
    </w:p>
    <w:p>
      <w:pPr>
        <w:spacing w:after="120"/>
        <w:jc w:val="both"/>
      </w:pPr>
      <w:r>
        <w:rPr>
          <w:rFonts w:ascii="Arial" w:cs="Arial" w:eastAsia="Arial" w:hAnsi="Arial"/>
          <w:sz w:val="24"/>
          <w:szCs w:val="24"/>
        </w:rPr>
        <w:t xml:space="preserve">5. В общей сложности на территории строительства площадью 2811,47 м2 и длиной 5946,57 пог.м обнаружено 265 различных типов конструкций. Эти конструкции принадлежат 193 домохозяйствам. Далее представлено краткое описание всех видов воздействий, связанных с изъятием земель в рамках проекта:</w:t>
      </w:r>
    </w:p>
    <w:p>
      <w:pPr>
        <w:spacing w:after="240" w:before="200"/>
        <w:jc w:val="center"/>
      </w:pPr>
      <w:r>
        <w:rPr>
          <w:rFonts w:ascii="Arial" w:cs="Arial" w:eastAsia="Arial" w:hAnsi="Arial"/>
          <w:b/>
          <w:bCs/>
          <w:sz w:val="32"/>
          <w:szCs w:val="32"/>
        </w:rPr>
        <w:t xml:space="preserve">Таблица ES1: Краткое описание воздействия проекта на ИЗП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1575"/>
        <w:gridCol w:w="782"/>
        <w:gridCol w:w="782"/>
        <w:gridCol w:w="998"/>
        <w:gridCol w:w="998"/>
        <w:gridCol w:w="998"/>
        <w:gridCol w:w="998"/>
        <w:gridCol w:w="1472"/>
      </w:tblGrid>
      <w:tr>
        <w:tc>
          <w:tcPr>
            <w:tcW w:type="dxa" w:w="315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воздействия</w:t>
            </w:r>
          </w:p>
        </w:tc>
        <w:tc>
          <w:tcPr>
            <w:tcW w:type="dxa" w:w="15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ДХ, подверженных воздействию с точки зрения изъятия земель, территорий под строительство и других воздействий</w:t>
            </w:r>
          </w:p>
        </w:tc>
        <w:tc>
          <w:tcPr>
            <w:tcW w:type="dxa" w:w="19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объекты</w:t>
            </w:r>
          </w:p>
        </w:tc>
        <w:tc>
          <w:tcPr>
            <w:tcW w:type="dxa" w:w="19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Затрагиваемое население и ДХ</w:t>
            </w:r>
          </w:p>
        </w:tc>
      </w:tr>
      <w:tr>
        <w:tc>
          <w:tcPr>
            <w:gridSpan w:val="2"/>
            <w:vMerge w:val="continue"/>
            <w:tcBorders>
              <w:top w:val="single" w:color="CBBF9E" w:sz="4"/>
              <w:left w:val="single" w:color="CBBF9E" w:sz="4"/>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(м2)/кол-во)</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объектов</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ДХ и объектов</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(м2)/кол-во)</w:t>
            </w:r>
          </w:p>
        </w:tc>
        <w:tc>
          <w:tcPr>
            <w:vMerge w:val="continue"/>
            <w:tcBorders>
              <w:top w:val="single" w:color="CBBF9E" w:sz="4"/>
              <w:left w:val="none" w:color="auto" w:sz="0"/>
              <w:bottom w:val="single" w:color="CBBF9E" w:sz="4"/>
              <w:right w:val="single" w:color="CBBF9E" w:sz="4"/>
            </w:tcBorders>
          </w:tcPr>
          <w:p/>
        </w:tc>
      </w:tr>
      <w:tr>
        <w:tc>
          <w:tcPr>
            <w:tcW w:type="dxa" w:w="15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Утрата земельных ресурсов
 (площ. в м2)</w:t>
            </w: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147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 ДХ с общим населением 1,724 (без дублирования)</w:t>
            </w: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Коммерческого типа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6450,7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Другого типа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Подитог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29588,87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1625,7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31214,57</w:t>
            </w:r>
          </w:p>
        </w:tc>
        <w:tc>
          <w:tcPr>
            <w:vMerge w:val="continue"/>
            <w:tcBorders>
              <w:top w:val="none" w:color="auto" w:sz="0"/>
              <w:left w:val="none" w:color="auto" w:sz="0"/>
              <w:bottom w:val="single" w:color="CBBF9E" w:sz="4"/>
              <w:right w:val="single" w:color="CBBF9E" w:sz="4"/>
            </w:tcBorders>
          </w:tcPr>
          <w:p/>
        </w:tc>
      </w:tr>
      <w:tr>
        <w:tc>
          <w:tcPr>
            <w:tcW w:type="dxa" w:w="15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Затронутый дом/здание/другие конструкции
 (площ. в м2)</w:t>
            </w: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и временные конструкции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1338,2</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1473,27</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конструкции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5786,57 п.м</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п.м</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5946,57 п.м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Подитог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2811,47</w:t>
            </w:r>
          </w:p>
        </w:tc>
        <w:tc>
          <w:tcPr>
            <w:vMerge w:val="continue"/>
            <w:tcBorders>
              <w:top w:val="none" w:color="auto" w:sz="0"/>
              <w:left w:val="none" w:color="auto" w:sz="0"/>
              <w:bottom w:val="single" w:color="CBBF9E" w:sz="4"/>
              <w:right w:val="single" w:color="CBBF9E" w:sz="4"/>
            </w:tcBorders>
          </w:tcP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Воздействие на деревья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СЗДХ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ЗУДХ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*Количество ДХ без дублирования. Источник: данные оценки на основе Отчета об оценке.</w:t>
      </w:r>
    </w:p>
    <w:p>
      <w:pPr>
        <w:spacing w:after="120"/>
        <w:jc w:val="both"/>
      </w:pPr>
      <w:r>
        <w:rPr>
          <w:rFonts w:ascii="Arial" w:cs="Arial" w:eastAsia="Arial" w:hAnsi="Arial"/>
          <w:b/>
          <w:bCs/>
          <w:sz w:val="24"/>
          <w:szCs w:val="24"/>
        </w:rPr>
        <w:t xml:space="preserve">D. Социально-экономический профиль затронутых проектом территории и населения</w:t>
      </w:r>
    </w:p>
    <w:p>
      <w:pPr>
        <w:spacing w:after="120"/>
        <w:jc w:val="both"/>
      </w:pPr>
      <w:r>
        <w:rPr>
          <w:rFonts w:ascii="Arial" w:cs="Arial" w:eastAsia="Arial" w:hAnsi="Arial"/>
          <w:sz w:val="24"/>
          <w:szCs w:val="24"/>
        </w:rPr>
        <w:t xml:space="preserve">6. В отчете представлены основные общие социально-экономические характеристики населения проектного участка. Социально-экономические данные получены из имеющихся в стране статистических данных, содержащихся в различных отчетах и на веб-сайтах, имеющих отношение к проекту. Кроме того, обновленные данные были получены/собраны в администрациях населенных пунктов соответствующих затронутых проектом районов. Детальное социально-экономическое исследование в отношении затрагиваемых проектом людей не было проведено ввиду временных и бюджетных ограничений. В результате, в дополнение к вышесказанному, для оценки социально-экономического статуса ЗЛ также использовались данные технико-экономического обоснования настоящего проекта.</w:t>
      </w:r>
    </w:p>
    <w:p>
      <w:pPr>
        <w:spacing w:after="120"/>
        <w:jc w:val="both"/>
      </w:pPr>
      <w:r>
        <w:rPr>
          <w:rFonts w:ascii="Arial" w:cs="Arial" w:eastAsia="Arial" w:hAnsi="Arial"/>
          <w:sz w:val="24"/>
          <w:szCs w:val="24"/>
        </w:rPr>
        <w:t xml:space="preserve">7. Строительство дороги Маданият - Джалал-Абад осуществляется в Ноокенском, Базар-Коргонском и Сузакском районах Джалал-Абадской области. Сведения, полученные в администрациях данных районов, указывают на то, что общая численность населения во всех трех районах, затрагиваемых проектом, составляет 620896 человек, включая 313861 мужчин и 307035 женщин. Средний размер семьи затрагиваемых районов составляет 5,3 человека на семью. Почти все население затрагиваемых районов составляют кыргызы и узбеки - 62,5% и 35,1% соответственно. В общей сложности на территории проекта действует около 423 (без дополнительного уточнения) различных типов учебных заведений, которые располагаются во всех трех затрагиваемых проектом районах. Преобладающим видом деятельности является сельское хозяйство и фермерство, которые составляют около 80% от основных видов деятельности местного населения. Среди различных источников питьевой воды почти всеми домашними хозяйствами обычно используются водопроводная вода и собственные глубокие трубчатые колодцы. Что касается санитарных помещений, имеющиеся данные показывают, что люди чаще всего используют уличные туалеты с выгребной ямой. Жилые дома примерно 2/3 домохозяйств затрагиваемых районов построены из самана/глины/кирпича, а остальные - из кирпича/черепицы и других видов строительных материалов. Количество комнат в жилых домах различное, варьируется от одной до трех или более комнат, но большинство семей живут в двухкомнатных жилых домах. В то же время некоторые домохозяйства имеют три и более комнат.</w:t>
      </w:r>
    </w:p>
    <w:p>
      <w:pPr>
        <w:spacing w:after="120"/>
        <w:jc w:val="both"/>
      </w:pPr>
      <w:r>
        <w:rPr>
          <w:rFonts w:ascii="Arial" w:cs="Arial" w:eastAsia="Arial" w:hAnsi="Arial"/>
          <w:sz w:val="24"/>
          <w:szCs w:val="24"/>
        </w:rPr>
        <w:t xml:space="preserve">8. В дополнение к вышеизложенному, для оценки социально-экономических условий, особенно в отношении людей, затронутых проектом, также использовались данные технико-экономического обоснования проекта. Исследование было проведено в общей сложности в отношении 110-ти затронутых домохозяйств пяти населенных пунктов проекта, охватывая все три затрагиваемых района. В числе исследованных населенных пунктов были села Массы и Кочкор-Ата Ноокенского района, Абдраимов и Базар-Коргон Базар-Коргонского района, а также Сасык-Булак Сузакского района.</w:t>
      </w:r>
    </w:p>
    <w:p>
      <w:pPr>
        <w:spacing w:after="120"/>
        <w:jc w:val="both"/>
      </w:pPr>
      <w:r>
        <w:rPr>
          <w:rFonts w:ascii="Arial" w:cs="Arial" w:eastAsia="Arial" w:hAnsi="Arial"/>
          <w:sz w:val="24"/>
          <w:szCs w:val="24"/>
        </w:rPr>
        <w:t xml:space="preserve">9. Общая численность населения в 110-ти домохозяйствах составила 488 человек, включая 234 (48%) мужчин и 254 (52%) женщин со средним размером семьи 4,4 человека на семью. Среди всех лиц, проживающих в исследованных ДХ 51,6% относятся к возрастной группе 17-59 лет, которые с точки зрения экономики рассматриваются в качестве активной рабочей силы. Средний уровень грамотности ЗЛ составляет 95,5%, при этом около 95,5% мужчин и 96% женщин являются грамотными. Данные исследования показывают, что из 302-х человек взрослого населения, только 109 вовлечены в получение доходов для своих семей. Среди членов семьи, получающих доход, более 50% (63 человека) занимаются коммерческой деятельностью, за ними следуют 29,4% членов семей, занимающихся сельским хозяйством и фермерством, а также 14 человек (12,8%) работают в сфере образования, здравоохранения и в государственном секторе. Таким образом, общий средний доход исследованных ДХ составляет 16162,7 сом. Исследование также показало, что данные домохозяйства, как правило, располагают 4-комнатными домами с большими дворами. Средний размер домов составляет около 93,4 м2. В результате исследования было выявлено, что ДХ владеют различными типами активов. Это главным образом электротовары и электроника (например, газовые плиты, микроволновые печи, стиральные машины, холодильники, телевизоры, радио, плееры и т.д.). Наиболее распространенным видом транспортных средств каждого домашнего хозяйства является велосипед, некоторым ДХ принадлежат мотоциклы, автомобили, грузовики, тракторы, другое сельскохозяйственное оборудование. Что касается состояния здоровья и санитарии ЗЛ, то СЭИ показывает, что из 110 домохозяйств, больше половины (65 домохозяйств) покупают воду для питья и купания. Из общего числа обследованных домохозяйств только 37 используют водопроводную воду в то время, как 8 домохозяйств сообщили об использовании традиционных/неглубоких скважин. Электричество является наиболее часто используемым источником энергии для освещения всех домохозяйств, при этом 69 домохозяйств используют электричество для приготовления пищи.</w:t>
      </w:r>
    </w:p>
    <w:p>
      <w:pPr>
        <w:spacing w:after="120"/>
        <w:jc w:val="both"/>
      </w:pPr>
      <w:r>
        <w:rPr>
          <w:rFonts w:ascii="Arial" w:cs="Arial" w:eastAsia="Arial" w:hAnsi="Arial"/>
          <w:b/>
          <w:bCs/>
          <w:sz w:val="24"/>
          <w:szCs w:val="24"/>
        </w:rPr>
        <w:t xml:space="preserve">Е. Правовая политика и программа переселения</w:t>
      </w:r>
    </w:p>
    <w:p>
      <w:pPr>
        <w:spacing w:after="120"/>
        <w:jc w:val="both"/>
      </w:pPr>
      <w:r>
        <w:rPr>
          <w:rFonts w:ascii="Arial" w:cs="Arial" w:eastAsia="Arial" w:hAnsi="Arial"/>
          <w:sz w:val="24"/>
          <w:szCs w:val="24"/>
        </w:rPr>
        <w:t xml:space="preserve">10. Правовая база ИЗП настоящего проекта основывается на Положении о политике по защитным мерам (ППЗМ АБР 2009 г.) и законодательстве Кыргызской Республики. Соответственно, ПИЗП данного проекта был подготовлен с соблюдением как вышеуказанных направлений политики, так и утвержденной Правительством политики предоставления компенсационных выплат с устранением расхождений между политикой Правительства и АБР, где это необходимо. Основными особенностями правовой базы являются процедуры получения права государственной собственности на земельные участки, находящиеся в частной собственности, исходя из общественных потребностей, вызванных строительными работами: Конституция Кыргызской Республики, Гражданский кодекс, Земельный кодекс, Закон об автомобильных дорогах, Закон о государственной регистрации прав на недвижимое имущество и сделок с ним, Закон о порядке рассмотрения обращений граждан, Стандарты оценки для оценщиков и другие нормативные правовые акты. Конечная цель всех вышеуказанных законов и нормативных правовых актов заключается в обеспечении права затронутых лиц на справедливую компенсацию за их имущество, затронутое проектом.</w:t>
      </w:r>
    </w:p>
    <w:p>
      <w:pPr>
        <w:spacing w:after="120"/>
        <w:jc w:val="both"/>
      </w:pPr>
      <w:r>
        <w:rPr>
          <w:rFonts w:ascii="Arial" w:cs="Arial" w:eastAsia="Arial" w:hAnsi="Arial"/>
          <w:sz w:val="24"/>
          <w:szCs w:val="24"/>
        </w:rPr>
        <w:t xml:space="preserve">11. В ППЗМ АБР (2009 г.) подчеркивается, что вынужденное переселение ЗЛ посредством планирования является неотъемлемой частью разработки проекта, которое должно рассматриваться на самых ранних этапах проектного цикла. ППЗМ АБР (2009 г.) содержит руководство и требования по планированию переселения, а также последующей его реализации. Основные цели политики АБР по защитным мерам в отношении вынужденного переселения включают следующее: избегать принудительного переселения, где эго возможно; свести к минимуму вынужденное переселение путем изучения альтернатив при проектировании; улучшить или, по крайней мере, восстановить средства к существованию всех перемещенных лиц в реальном выражении по сравнению с предпроектными уровнями; а также повысить уровень жизни перемещенных малоимущих семей и других уязвимых групп. В этой связи, к трем важным элементам политики вынужденного переселения АБР относятся: (i) компенсация, выплачиваемая с целью замены потерянных активов, средств к существованию и дохода; (ii) помощь в переселении, включая предоставление мест переселения с наличием необходимых средств и услуг; и (iii) помощь в реабилитации для достижения как минимум такого же уровня благосостояния, которое было до проекта. В соответствии с ППЗМ (2009 г.) и настоящим ПИЗП, необходимо соответствующим образом учесть все воздействия ИЗП, выявленные во время ДЗИ, таким образом обеспечивая, чтобы всем лицам, затронутым проектом, были предоставлены соответствующие компенсационные выплаты и/или помощь до их перемещения. Право на получение компенсации в рамках данного проекта определяется крайним сроком, установленным на 31 августа 2019 года (в отсутствие какого-либо правительственного приказа/постановления) с учетом даты завершения ДЗИ проекта.</w:t>
      </w:r>
    </w:p>
    <w:p>
      <w:pPr>
        <w:spacing w:after="120"/>
        <w:jc w:val="both"/>
      </w:pPr>
      <w:r>
        <w:rPr>
          <w:rFonts w:ascii="Arial" w:cs="Arial" w:eastAsia="Arial" w:hAnsi="Arial"/>
          <w:sz w:val="24"/>
          <w:szCs w:val="24"/>
        </w:rPr>
        <w:t xml:space="preserve">12. В таблице ES2 представлена согласованная МТИД КР матрица прав на компенсацию, подлежащая предоставлению вследствие воздействия ИЗП на участке дороги Маданият - Джалал-Абад. В данной матрице четко изложены положения о компенсации, подлежащей выплате ЗЛ за потери различных видов земель и имущества с соответствующими последствиями.</w:t>
      </w:r>
    </w:p>
    <w:p>
      <w:pPr>
        <w:spacing w:after="120"/>
        <w:jc w:val="both"/>
      </w:pPr>
      <w:r>
        <w:rPr>
          <w:rFonts w:ascii="Arial" w:cs="Arial" w:eastAsia="Arial" w:hAnsi="Arial"/>
          <w:b/>
          <w:bCs/>
          <w:sz w:val="24"/>
          <w:szCs w:val="24"/>
        </w:rPr>
        <w:t xml:space="preserve">Таблица ES2: Матрица предоставления компенсационных выплат на участке дороги Маданият - Джалал-Абад, утвержденная МТИД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6"/>
        <w:gridCol w:w="3224"/>
        <w:gridCol w:w="2154"/>
        <w:gridCol w:w="2504"/>
      </w:tblGrid>
      <w:tr>
        <w:tc>
          <w:tcPr>
            <w:tcW w:type="dxa" w:w="2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воздействия и потери</w:t>
            </w:r>
          </w:p>
        </w:tc>
        <w:tc>
          <w:tcPr>
            <w:tcW w:type="dxa" w:w="32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Сфера применения</w:t>
            </w:r>
          </w:p>
        </w:tc>
        <w:tc>
          <w:tcPr>
            <w:tcW w:type="dxa" w:w="21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Установление домохозяйств и лиц, затронутых проектом</w:t>
            </w:r>
          </w:p>
        </w:tc>
        <w:tc>
          <w:tcPr>
            <w:tcW w:type="dxa" w:w="25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Принципы/подходы к определению компенсационных выплат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Потеря сельскохозяйственных земель</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сельскохозяйственные земли, потерянные ЗДХ независимо от масштаба воздействия</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свои активы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Законные арендаторы получат компенсацию за потерю права на использование земельных участков по рыночной стоимости или получат право аренды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чьи права могут быть легализованы, должны будут легализовать их и получить компенсацию в качестве законных арендаторов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Потеря земель несельскохозяйственного назначения</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(владельцы/арендаторы/операторы), которые теряют свои земельные участки под коммерческое или жилое использование</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активы</w:t>
            </w:r>
          </w:p>
        </w:tc>
      </w:tr>
      <w:tr>
        <w:tc>
          <w:tcPr>
            <w:vMerge w:val="continue"/>
            <w:tcBorders>
              <w:top w:val="none" w:color="auto" w:sz="0"/>
              <w:left w:val="single" w:color="CBBF9E" w:sz="4"/>
              <w:bottom w:val="single" w:color="CBBF9E" w:sz="4"/>
              <w:right w:val="single" w:color="CBBF9E" w:sz="4"/>
            </w:tcBorders>
          </w:tcP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земельные участки (муниципальные или государственные земельные участки)</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права на использование земельных участков по рыночной стоимости или предоставление права на аренду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Жилые дома</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зданий/сооружений с учетом полной восстановительной стоимости без амортизации + косвенные расходы и спасенные материалы (стоимость перерегистрации оставшегося земельного участка и сооружений)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жилых домов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за потерю зданий и сооружений с учетом полной восстановительной стоимости без амортизации и стоимости материалов одноразового использования, включая косвенные расходы (расходы, связанные с заключением сделки)</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Нежилые здания и постройки</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с действующей регистрацией</w:t>
            </w:r>
          </w:p>
        </w:tc>
        <w:tc>
          <w:tcPr>
            <w:tcW w:type="dxa" w:w="25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с учетом полной восстановительной стоимости без амортизации, косвенные расходы (затраты на совершение сделки) и стоимость материалов одноразового использования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чьи права в отношении зданий и сооружений, построенных на законных земельных участках, могут быть засвидетельствованы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зданий и сооружений, построенных на незаконных земельных участках</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реабилитацию в размере возмещаемой стоимости без амортизации, косвенных расходов (расходов, связанных с совершением сделки) и стоимости одноразовых материалов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Потеря муниципальной/государственной собственности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Муниципальная/государственная собственность</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Муниципалитет/государство</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Восстановление/реабилитация утраченных конструкций/активов по согласованию с муниципальными властями/уполномоченным государственным органом</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Потеря зеленых насаждений и посевов (деревьев и сельскохозяйственных культур)</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продуктивных деревьев</w:t>
            </w: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независимо от правового статуса используемого земельного участка</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продуктивные деревья с учетом чистого годового урожая с дерева (деревьев) за количество лет, необходимых для того, чтобы заменяющие деревья начали производить сопоставимый урожай плюс стоимость саженцев</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непродуктивных деревьев</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деревья в зависимости от объема древесины</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декоративных деревьев/кустарников</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рыночной стоимости</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культуры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в размере стоимости урожая за один год</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Воздействие на бизнес</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владельцы/арендаторы бизнеса/сотрудники, работающие по контракту и затронутые неофициальные работники.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прибыли от законного бизнеса на срок до 1 года на основе заявленного дохода.</w:t>
            </w:r>
          </w:p>
          <w:p>
            <w:pPr>
              <w:jc w:val="left"/>
            </w:pPr>
            <w:r>
              <w:rPr>
                <w:rFonts w:ascii="Arial" w:cs="Arial" w:eastAsia="Arial" w:hAnsi="Arial"/>
                <w:sz w:val="24"/>
                <w:szCs w:val="24"/>
              </w:rPr>
              <w:t xml:space="preserve">2) Компенсация прибыли патентообладателей на срок до 1 года на основании заявленного дохода/оценки дохода.</w:t>
            </w:r>
          </w:p>
          <w:p>
            <w:pPr>
              <w:jc w:val="left"/>
            </w:pPr>
            <w:r>
              <w:rPr>
                <w:rFonts w:ascii="Arial" w:cs="Arial" w:eastAsia="Arial" w:hAnsi="Arial"/>
                <w:sz w:val="24"/>
                <w:szCs w:val="24"/>
              </w:rPr>
              <w:t xml:space="preserve">Для владельцев незаконного бизнеса - пособия на реабилитацию с учетом прожиточного минимума соответствующего региона (района) па срок не более 3-х месяцев</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затронутый бизнес</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прибыли от законного бизнеса на срок до трех месяцев на основе заявленного дохода</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за серьезные воздействия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Серьезно затронутые домохозяйства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серьезно затронутые ДХ, включая незаконных поселенцев и переселенцев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1 дополнительного урожая за 1 год для ЗДХ, понесших серьезные потери сельскохозяйственного дохода.</w:t>
            </w:r>
          </w:p>
          <w:p>
            <w:pPr>
              <w:jc w:val="left"/>
            </w:pPr>
            <w:r>
              <w:rPr>
                <w:rFonts w:ascii="Arial" w:cs="Arial" w:eastAsia="Arial" w:hAnsi="Arial"/>
                <w:sz w:val="24"/>
                <w:szCs w:val="24"/>
              </w:rPr>
              <w:t xml:space="preserve">2) Пособие на реабилитацию в размере минимальной национальной зарплаты для перемещенных ЗДХ в течение 6 месяцев</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Пособие на переезд</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на переезд</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перемещенные ЗДХ, включая перемещенных арендаторов и движимые предприятия</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Переезд согласно условиям Проекта или с учетом рыночной стоимости транспортировки для самостоятельного переезда в пределах поселка/населенного пункта</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Пособия для уязвимых слоев населения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ЗДХ за чертой бедности/с женщиной во главе семьи/пожилыми людьми или получающие государственные социальные пособия</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дополнение к каким-либо другим льготам предоставляется денежное пособие в размере 6-месячной минимальной заработной платы, а также приоритет трудоустройства на рабочие места в рамках Проекта</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Непредвиденные воздействия проекта, если таковые имеются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Группа/Комитет МРЖ (Механизм рассмотрения жалоб) принимает решения на индивидуальной основе</w:t>
            </w:r>
          </w:p>
        </w:tc>
        <w:tc>
          <w:tcPr>
            <w:tcW w:type="dxa" w:w="21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5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F. Общественные слушания и распространение информации</w:t>
      </w:r>
    </w:p>
    <w:p>
      <w:pPr>
        <w:spacing w:after="120"/>
        <w:jc w:val="both"/>
      </w:pPr>
      <w:r>
        <w:rPr>
          <w:rFonts w:ascii="Arial" w:cs="Arial" w:eastAsia="Arial" w:hAnsi="Arial"/>
          <w:sz w:val="24"/>
          <w:szCs w:val="24"/>
        </w:rPr>
        <w:t xml:space="preserve">13. Серия общественных слушаний проводилась в различных зонах и в различные периоды реализации проекта от этапа технико-экономического обоснования до настоящего времени. Данные слушания будут продолжаться и в течение всего оставшегося периода реализации проекта. Общественные слушания с затронутыми лицами и заинтересованными сторонами были проведены на стадии ПИЗП/завершения. Кроме того, в течение всего этого времени такие консультации проводились в ГРИП в Бишкеке, региональном офисе Координатора ГРИП в Джалал-Абаде, для подрядчика, Команды консультантов, местных органов власти на уровне районов и сел, ЗЛ и других местных жителей в зоне проекта. Последние масштабные общественные слушания были проведены с 3 по 6 марта 2020 года в 11 населенных пунктах, расположенных в трех районах. В этих встречах приняли участие в целом 314 человек. На данных слушаниях предоставлялась информация о Проекте, соответствующих правах, методологии оценки компенсаций, механизме рассмотрения жалоб, методологии и процедуре исследований, документах, необходимых для получения компенсации и легализации незаконной собственности/активов, при наличии таковых. Протоколы слушаний наряду с некоторыми фотографиями прилагаются к ПИЗП.</w:t>
      </w:r>
    </w:p>
    <w:p>
      <w:pPr>
        <w:spacing w:after="120"/>
        <w:jc w:val="both"/>
      </w:pPr>
      <w:r>
        <w:rPr>
          <w:rFonts w:ascii="Arial" w:cs="Arial" w:eastAsia="Arial" w:hAnsi="Arial"/>
          <w:sz w:val="24"/>
          <w:szCs w:val="24"/>
        </w:rPr>
        <w:t xml:space="preserve">14. ПИЗП будет доступен соответствующим подразделениям МТИД КР, включая ГРИП, местные органы власти и местное сообщество на доступном языке. Кроме того, информация о проекте будет распространяться посредством предоставления сведений о планировании переселения и других соответствующих документов, включая информационную брошюру по ИЗП, содержащую информацию о компенсациях, пособиях и управлении процессом переселения, принятым в рамках проекта. Каждому ЗЛ будет предоставлена информация относительно их конкретных прав. После получения невозражения ЕАБР и последующего утверждения Правительством Кыргызской Республики ПИЗП будет размещен на веб-сайтах ЕФСР и МТИД КР.</w:t>
      </w:r>
    </w:p>
    <w:p>
      <w:pPr>
        <w:spacing w:after="120"/>
        <w:jc w:val="both"/>
      </w:pPr>
      <w:r>
        <w:rPr>
          <w:rFonts w:ascii="Arial" w:cs="Arial" w:eastAsia="Arial" w:hAnsi="Arial"/>
          <w:b/>
          <w:bCs/>
          <w:sz w:val="24"/>
          <w:szCs w:val="24"/>
        </w:rPr>
        <w:t xml:space="preserve">G. Реализация и график проекта</w:t>
      </w:r>
    </w:p>
    <w:p>
      <w:pPr>
        <w:spacing w:after="120"/>
        <w:jc w:val="both"/>
      </w:pPr>
      <w:r>
        <w:rPr>
          <w:rFonts w:ascii="Arial" w:cs="Arial" w:eastAsia="Arial" w:hAnsi="Arial"/>
          <w:sz w:val="24"/>
          <w:szCs w:val="24"/>
        </w:rPr>
        <w:t xml:space="preserve">15. МТИД КР является Исполнительным агентством (ИА), которое несет общую ответственность за реализацию проекта, включая реализацию данного ПИЗП. Группа реализации инвестиционных проектов (ГРИП) в качестве ИА в рамках МТИД КР будет отвечать за ежедневное управление реализацией проекта, а также за реализацию ПИЗП. Задействуя своих специалистов по социальным защитным мерам и других экспертов, участвующих в реализации ПИЗП, а также при поддержке КИЗП и Консультанта за строительным надзором (КСН), ГРИП будет заниматься: (i) предоставлением информации по настоящему ПИЗП местным органам власти и затронутым проектом населенным пунктам; (ii) предоставлением информационной брошюры о переселении всем затронутым домохозяйствам; (iii) организацией и документальным оформлением предпроектных слушаний; (iv) созданием базы данных ИЗП и ее ежемесячным обновлением; (v) осуществлением внутреннего мониторинга и отчетности; (vi) обеспечением работы и участия ГРЖ в удовлетворении жалоб посредством механизма рассмотрения жалоб (МРЖ); а также (vii) обеспечением очистки земель после реализации ПИЗП.</w:t>
      </w:r>
    </w:p>
    <w:p>
      <w:pPr>
        <w:spacing w:after="120"/>
        <w:jc w:val="both"/>
      </w:pPr>
      <w:r>
        <w:rPr>
          <w:rFonts w:ascii="Arial" w:cs="Arial" w:eastAsia="Arial" w:hAnsi="Arial"/>
          <w:sz w:val="24"/>
          <w:szCs w:val="24"/>
        </w:rPr>
        <w:t xml:space="preserve">16. График реализации изложен в настоящем ПИЗП с подробным описанием мероприятий, осуществление которых запланировано с момента обновления ПИЗП в августе 2020 года до внедрения ПИЗП и его мониторинга. Сроки обновления/подготовки и последующего внедрения ПИЗП указаны в самом ПИЗП наряду с информацией о том, что ИЗП должно быть завершено к январю 2021 года, в то время как мониторинг будет продолжаться до завершения проекта в 2022 году.</w:t>
      </w:r>
    </w:p>
    <w:p>
      <w:pPr>
        <w:spacing w:after="120"/>
        <w:jc w:val="both"/>
      </w:pPr>
      <w:r>
        <w:rPr>
          <w:rFonts w:ascii="Arial" w:cs="Arial" w:eastAsia="Arial" w:hAnsi="Arial"/>
          <w:b/>
          <w:bCs/>
          <w:sz w:val="24"/>
          <w:szCs w:val="24"/>
        </w:rPr>
        <w:t xml:space="preserve">H. Механизм рассмотрения жалоб</w:t>
      </w:r>
    </w:p>
    <w:p>
      <w:pPr>
        <w:spacing w:after="120"/>
        <w:jc w:val="both"/>
      </w:pPr>
      <w:r>
        <w:rPr>
          <w:rFonts w:ascii="Arial" w:cs="Arial" w:eastAsia="Arial" w:hAnsi="Arial"/>
          <w:sz w:val="24"/>
          <w:szCs w:val="24"/>
        </w:rPr>
        <w:t xml:space="preserve">17. ПИЗП предусматривает создание оперативно реагирующего, легкодоступного и приемлемого с точки зрения культуры МРЖ, способного принимать и продвигать решение проблем и жалоб затрагиваемых проектом лиц. Для ГРИП МРЖ представляет собой формализованный способ выявления и урегулирования жалоб ПЛ. Он предоставляет ЗЛ/ПЛ платформу для озвучивания своих проблем, получения разъяснений на свои вопросы, а также оформления жалоб, связанных с реализацией проекта. В рамках МРЖ рассматриваются вопросы, связанные с вынужденным переселением, социальными и экологическими показателями и предоставлением информации.</w:t>
      </w:r>
    </w:p>
    <w:p>
      <w:pPr>
        <w:spacing w:after="120"/>
        <w:jc w:val="both"/>
      </w:pPr>
      <w:r>
        <w:rPr>
          <w:rFonts w:ascii="Arial" w:cs="Arial" w:eastAsia="Arial" w:hAnsi="Arial"/>
          <w:sz w:val="24"/>
          <w:szCs w:val="24"/>
        </w:rPr>
        <w:t xml:space="preserve">18. Группы по рассмотрению жалоб создаются на местном и центральном уровнях и будут действовать в течение всего периода реализации проекта. Предполагается также создание ГРЖ на местном уровне в каждом из трех районов в зоне проекта в соответствии с Приказами № 45 и 46 МТИД КР от 12 февраля 2020 года.</w:t>
      </w:r>
    </w:p>
    <w:p>
      <w:pPr>
        <w:spacing w:after="120"/>
        <w:jc w:val="both"/>
      </w:pPr>
      <w:r>
        <w:rPr>
          <w:rFonts w:ascii="Arial" w:cs="Arial" w:eastAsia="Arial" w:hAnsi="Arial"/>
          <w:sz w:val="24"/>
          <w:szCs w:val="24"/>
        </w:rPr>
        <w:t xml:space="preserve">I</w:t>
      </w:r>
      <w:r>
        <w:rPr>
          <w:rFonts w:ascii="Arial" w:cs="Arial" w:eastAsia="Arial" w:hAnsi="Arial"/>
          <w:b/>
          <w:bCs/>
          <w:sz w:val="24"/>
          <w:szCs w:val="24"/>
        </w:rPr>
        <w:t xml:space="preserve">. Бюджет и финансирование переселения</w:t>
      </w:r>
    </w:p>
    <w:p>
      <w:pPr>
        <w:spacing w:after="120"/>
        <w:jc w:val="both"/>
      </w:pPr>
      <w:r>
        <w:rPr>
          <w:rFonts w:ascii="Arial" w:cs="Arial" w:eastAsia="Arial" w:hAnsi="Arial"/>
          <w:sz w:val="24"/>
          <w:szCs w:val="24"/>
        </w:rPr>
        <w:t xml:space="preserve">19. Права на компенсационные выплаты для различных категорий ЗЛ/ПЛ представлены в соответствующей главе ПИЗП и установлены в соответствии с действующим законодательством Кыргызской Республики и требованиями ППЗМ АБР 2009 г. Стоимость переселения в рамках настоящего проекта включает приемлемую компенсацию, помощь в переселении и стоимость оказываемой поддержки при реализации ПИЗП. Компенсационные ставки за различные воздействия и потери были определены сертифицированным независимым оценщиком.</w:t>
      </w:r>
    </w:p>
    <w:p>
      <w:pPr>
        <w:spacing w:after="120"/>
        <w:jc w:val="both"/>
      </w:pPr>
      <w:r>
        <w:rPr>
          <w:rFonts w:ascii="Arial" w:cs="Arial" w:eastAsia="Arial" w:hAnsi="Arial"/>
          <w:sz w:val="24"/>
          <w:szCs w:val="24"/>
        </w:rPr>
        <w:t xml:space="preserve">Помощь в переселении включает в себя:</w:t>
      </w:r>
    </w:p>
    <w:p>
      <w:pPr>
        <w:spacing w:after="120"/>
        <w:jc w:val="both"/>
      </w:pPr>
      <w:r>
        <w:rPr>
          <w:rFonts w:ascii="Arial" w:cs="Arial" w:eastAsia="Arial" w:hAnsi="Arial"/>
          <w:sz w:val="24"/>
          <w:szCs w:val="24"/>
        </w:rPr>
        <w:t xml:space="preserve">- содействие при необходимости в разделении, перерегистрации и получении необходимых документов на затрагиваемое имущество в соответствующих органах;</w:t>
      </w:r>
    </w:p>
    <w:p>
      <w:pPr>
        <w:spacing w:after="120"/>
        <w:jc w:val="both"/>
      </w:pPr>
      <w:r>
        <w:rPr>
          <w:rFonts w:ascii="Arial" w:cs="Arial" w:eastAsia="Arial" w:hAnsi="Arial"/>
          <w:sz w:val="24"/>
          <w:szCs w:val="24"/>
        </w:rPr>
        <w:t xml:space="preserve">- содействие при необходимости в осуществлении демонтажа, погрузки, переноса, монтажа легких конструкций (металлические заборы и ограждения, коммерческие киоски, стелы, рекламные щиты);</w:t>
      </w:r>
    </w:p>
    <w:p>
      <w:pPr>
        <w:spacing w:after="120"/>
        <w:jc w:val="both"/>
      </w:pPr>
      <w:r>
        <w:rPr>
          <w:rFonts w:ascii="Arial" w:cs="Arial" w:eastAsia="Arial" w:hAnsi="Arial"/>
          <w:sz w:val="24"/>
          <w:szCs w:val="24"/>
        </w:rPr>
        <w:t xml:space="preserve">- содействие при необходимости в согласовании с местными органами власти и территориальными отделами управления министерств и ведомств новых мест для перемещения коммерческих киосков, а также содействие в получении разрешительных документов на их установку;</w:t>
      </w:r>
    </w:p>
    <w:p>
      <w:pPr>
        <w:spacing w:after="120"/>
        <w:jc w:val="both"/>
      </w:pPr>
      <w:r>
        <w:rPr>
          <w:rFonts w:ascii="Arial" w:cs="Arial" w:eastAsia="Arial" w:hAnsi="Arial"/>
          <w:sz w:val="24"/>
          <w:szCs w:val="24"/>
        </w:rPr>
        <w:t xml:space="preserve">- содействие при необходимости в вырубке зеленых насаждений (включая выкорчевку пней и распил на дрова);</w:t>
      </w:r>
    </w:p>
    <w:p>
      <w:pPr>
        <w:spacing w:after="120"/>
        <w:jc w:val="both"/>
      </w:pPr>
      <w:r>
        <w:rPr>
          <w:rFonts w:ascii="Arial" w:cs="Arial" w:eastAsia="Arial" w:hAnsi="Arial"/>
          <w:sz w:val="24"/>
          <w:szCs w:val="24"/>
        </w:rPr>
        <w:t xml:space="preserve">- предоставление необходимых консультаций ЗЛ по вопросам изъятия земель и переселения в процессе подготовки и реализации настоящего ПИЗП.</w:t>
      </w:r>
    </w:p>
    <w:p>
      <w:pPr>
        <w:spacing w:after="120"/>
        <w:jc w:val="both"/>
      </w:pPr>
      <w:r>
        <w:rPr>
          <w:rFonts w:ascii="Arial" w:cs="Arial" w:eastAsia="Arial" w:hAnsi="Arial"/>
          <w:sz w:val="24"/>
          <w:szCs w:val="24"/>
        </w:rPr>
        <w:t xml:space="preserve">20. Бюджет данного ПИЗП включает, в основном: (i) затраты на все затронутые земли, сооружения и другое имущество, которые должны быть покрыты затронутым сторонам в качестве компенсаций и помощи в соответствии с утвержденной матрицей выплат, определенной сертифицированным независимым оценщиком; (ii) Административные расходы на уровне 2% от общих вышеуказанных прямых затрат; (iii) Расходы на поддержку реализации ПИЗП, включающие потребность в персонале, мониторинг и оценку, участие Группы по переселению в реализации проекта и т.д., а также (iv) непредвиденные расходы в размере 20% от общих прямых затрат.</w:t>
      </w:r>
    </w:p>
    <w:p>
      <w:pPr>
        <w:spacing w:after="120"/>
        <w:jc w:val="both"/>
      </w:pPr>
      <w:r>
        <w:rPr>
          <w:rFonts w:ascii="Arial" w:cs="Arial" w:eastAsia="Arial" w:hAnsi="Arial"/>
          <w:sz w:val="24"/>
          <w:szCs w:val="24"/>
        </w:rPr>
        <w:t xml:space="preserve">21. Общая сметная стоимость переселения ПИЗП, включая его реализацию, составляет </w:t>
      </w:r>
      <w:r>
        <w:rPr>
          <w:rFonts w:ascii="Arial" w:cs="Arial" w:eastAsia="Arial" w:hAnsi="Arial"/>
          <w:b/>
          <w:bCs/>
          <w:sz w:val="24"/>
          <w:szCs w:val="24"/>
        </w:rPr>
        <w:t xml:space="preserve">193029910 сомов или</w:t>
      </w:r>
      <w:r>
        <w:rPr>
          <w:rFonts w:ascii="Arial" w:cs="Arial" w:eastAsia="Arial" w:hAnsi="Arial"/>
          <w:sz w:val="24"/>
          <w:szCs w:val="24"/>
        </w:rPr>
        <w:t xml:space="preserve">, что эквивалентно </w:t>
      </w:r>
      <w:r>
        <w:rPr>
          <w:rFonts w:ascii="Arial" w:cs="Arial" w:eastAsia="Arial" w:hAnsi="Arial"/>
          <w:b/>
          <w:bCs/>
          <w:sz w:val="24"/>
          <w:szCs w:val="24"/>
        </w:rPr>
        <w:t xml:space="preserve">2476647 долл. США</w:t>
      </w:r>
      <w:r>
        <w:rPr>
          <w:rFonts w:ascii="Arial" w:cs="Arial" w:eastAsia="Arial" w:hAnsi="Arial"/>
          <w:sz w:val="24"/>
          <w:szCs w:val="24"/>
        </w:rPr>
        <w:t xml:space="preserve">(1). Все расходы, связанные с реализацией настоящего ПИЗП будут произведены из бюджета Кыргызской </w:t>
      </w:r>
      <w:r>
        <w:rPr>
          <w:rFonts w:ascii="Arial" w:cs="Arial" w:eastAsia="Arial" w:hAnsi="Arial"/>
          <w:b/>
          <w:bCs/>
          <w:sz w:val="24"/>
          <w:szCs w:val="24"/>
        </w:rPr>
        <w:t xml:space="preserve">Республики.</w:t>
      </w:r>
    </w:p>
    <w:p>
      <w:pPr>
        <w:spacing w:after="120"/>
        <w:jc w:val="both"/>
      </w:pPr>
      <w:r>
        <w:rPr>
          <w:rFonts w:ascii="Arial" w:cs="Arial" w:eastAsia="Arial" w:hAnsi="Arial"/>
          <w:b/>
          <w:bCs/>
          <w:sz w:val="24"/>
          <w:szCs w:val="24"/>
        </w:rPr>
        <w:t xml:space="preserve">J. Организация мониторинга</w:t>
      </w:r>
    </w:p>
    <w:p>
      <w:pPr>
        <w:spacing w:after="120"/>
        <w:jc w:val="both"/>
      </w:pPr>
      <w:r>
        <w:rPr>
          <w:rFonts w:ascii="Arial" w:cs="Arial" w:eastAsia="Arial" w:hAnsi="Arial"/>
          <w:sz w:val="24"/>
          <w:szCs w:val="24"/>
        </w:rPr>
        <w:t xml:space="preserve">22. Реализация ПИЗП будет подлежать внутреннему мониторингу. Внутренний мониторинг будет сосредоточен на ходе реализации ПИЗП и будет проводиться ГРИП при содействии КИЗП и КСН. Внутренний мониторинг будет на регулярной основе проводиться в течение всего проектного периода для контроля хода переселения и выявления потенциальных трудностей и проблемных областей. Указанный внутренний мониторинг будет проводиться ГРИП при содействии КСН с составлением ежемесячных, ежеквартальных и полугодовых отчетов о ходе мониторинга для представления в МТИД/ЕАБР.</w:t>
      </w:r>
    </w:p>
    <w:p>
      <w:pPr>
        <w:spacing w:after="120"/>
        <w:jc w:val="center"/>
      </w:pPr>
      <w:r>
        <w:rPr>
          <w:rFonts w:ascii="Arial" w:cs="Arial" w:eastAsia="Arial" w:hAnsi="Arial"/>
          <w:b/>
          <w:bCs/>
          <w:sz w:val="24"/>
          <w:szCs w:val="24"/>
        </w:rPr>
        <w:t xml:space="preserve">ГЛАВА 1. ВВЕДЕНИЕ</w:t>
      </w:r>
    </w:p>
    <w:p>
      <w:pPr>
        <w:spacing w:after="240" w:before="200"/>
        <w:jc w:val="center"/>
      </w:pPr>
      <w:r>
        <w:rPr>
          <w:rFonts w:ascii="Arial" w:cs="Arial" w:eastAsia="Arial" w:hAnsi="Arial"/>
          <w:b/>
          <w:bCs/>
          <w:sz w:val="32"/>
          <w:szCs w:val="32"/>
        </w:rPr>
        <w:t xml:space="preserve">1.1. Обзорная информация о проекте</w:t>
      </w:r>
    </w:p>
    <w:p>
      <w:pPr>
        <w:spacing w:after="120"/>
        <w:jc w:val="both"/>
      </w:pPr>
      <w:r>
        <w:rPr>
          <w:rFonts w:ascii="Arial" w:cs="Arial" w:eastAsia="Arial" w:hAnsi="Arial"/>
          <w:sz w:val="24"/>
          <w:szCs w:val="24"/>
        </w:rPr>
        <w:t xml:space="preserve">1. Территория Кыргызстана характеризуется чрезвычайно высокими транспортными и логистическими издержками ввиду своей географической изоляции, отсутствия выхода к морю и гористой местности, что делает его неконкурентоспособным на рынках соседних стран. Дорога Бишкек-Ош расположена в западно-центральной части страны, соединяя два ее крупнейших города (Бишкек и Ош) и другие важные населенные пункты. Данная дорога имеет важное значение для развития торговли и сохранения культурных связей между севером и югом страны. Существующая дорога Бишкек-Ош была спроектирована и построена в соответствии с советскими стандартами. Однако в 2004 году был принят кыргызский геометрический стандарт (СНиП КР 32-01:2004), и восстановление дороги в целом должно соответствовать новому стандарту. Дорога Бишкек-Ош составляет около трети основной сети международных автомобильных коридоров в Кыргызской Республике и связывает страну с Казахстаном на севере, Узбекистаном и Таджикистаном на юге и Китайской Народной Республикой на юго-востоке. Она пересекает четыре из семи областей страны и обслуживает около 2-х миллионов человек. Это единственная прямая наземная связь между южной и северной частями страны, что делает ее крайне важной для поддержания социальной, политической и экономической целостности страны. Дорога Бишкек-Ош также является частью Коридора Центральноазиатского регионального экономического сотрудничества (ЦАРЭС) 3, который проходит от западного и южного сибирского региона Российской Федерации через Казахстан, Кыргызскую Республику, Таджикистан, Афганистан и Узбекистан на Ближний Восток и в Южную Азию.</w:t>
      </w:r>
    </w:p>
    <w:p>
      <w:pPr>
        <w:spacing w:after="120"/>
        <w:jc w:val="both"/>
      </w:pPr>
      <w:r>
        <w:rPr>
          <w:rFonts w:ascii="Arial" w:cs="Arial" w:eastAsia="Arial" w:hAnsi="Arial"/>
          <w:sz w:val="24"/>
          <w:szCs w:val="24"/>
        </w:rPr>
        <w:t xml:space="preserve">2. Исходя из этого, первоначально АБР оказал помощь Кыргызской Республике в реабилитации 320 км дороги Бишкек-Ош протяженностью 655 км. Кроме АБР другие партнеры по развитию, такие как Японское агентство международного сотрудничества (JICA) и Исламский банк развития (ИБР) также признали важность этого пути. В совокупности все партнеры по развитию помогли Правительству в восстановлении более 539 км (около 82%) дороги Бишкек-Ош.</w:t>
      </w:r>
    </w:p>
    <w:p>
      <w:pPr>
        <w:spacing w:after="120"/>
        <w:jc w:val="both"/>
      </w:pPr>
      <w:r>
        <w:rPr>
          <w:rFonts w:ascii="Arial" w:cs="Arial" w:eastAsia="Arial" w:hAnsi="Arial"/>
          <w:sz w:val="24"/>
          <w:szCs w:val="24"/>
        </w:rPr>
        <w:t xml:space="preserve">3. Тем не менее, из-за ограничений финансирования два участка, требующие неотложного внимания, а именно, участок дороги Бишкек - Кара-Балта и Маданият - Джалал-Абад, остались в прежнем состоянии. Поскольку эти два реабилитированных участка находятся в очень плохом состоянии, с международным индексом ровности выше 7 и средней скоростью движения грузовых автомобилей и автобусов ниже 60 км/ч, они не могут обеспечить требуемый уровень обслуживания и представляют опасность для участников дорожного движения и пешеходов. Модернизация дороги Бишкек-Ош предполагает обеспечение доступа беднейшим слоям населения к услугам, товарам и рынкам, а также улучшение региональной связи и повышение безопасности для всех участников дорожного движения.</w:t>
      </w:r>
    </w:p>
    <w:p>
      <w:pPr>
        <w:spacing w:after="120"/>
        <w:jc w:val="both"/>
      </w:pPr>
      <w:r>
        <w:rPr>
          <w:rFonts w:ascii="Arial" w:cs="Arial" w:eastAsia="Arial" w:hAnsi="Arial"/>
          <w:sz w:val="24"/>
          <w:szCs w:val="24"/>
        </w:rPr>
        <w:t xml:space="preserve">4. Учитывая вышеизложенное и по запросу Правительства Кыргызской Республики, Евразийский фонд стабилизации и развития (ЕФСР) предоставил инвестиционный кредит на реконструкцию и реабилитацию участка дороги Маданият - Джалал-Абад. Кроме того, текущая программа строительства дороги будет усовершенствована за счет восстановления и реконструкции дороги Маданият - Джалал-Абад протяженностью 67 км и повышения уровня безопасности и содержания дорог в коридорах ЦАРЭС 3. Данная программа также будет способствовать развитию местного сообщества и общественных сооружений.</w:t>
      </w:r>
    </w:p>
    <w:p>
      <w:pPr>
        <w:spacing w:after="120"/>
        <w:jc w:val="both"/>
      </w:pPr>
      <w:r>
        <w:rPr>
          <w:rFonts w:ascii="Arial" w:cs="Arial" w:eastAsia="Arial" w:hAnsi="Arial"/>
          <w:sz w:val="24"/>
          <w:szCs w:val="24"/>
        </w:rPr>
        <w:t xml:space="preserve">5. Проект полностью согласуется с приоритетами Правительства в части модернизации ключевых коридоров, как указано в Национальной стратегии устойчивого развития (2013-2017 годы). Проект также соответствует Стратегии АБР 2020 г. и Стратегии партнерства Всемирного банка с Кыргызской Республикой (2013-2017 гг.) (CPS). Приоритетной темой для CPS является развитие успешного и стабильного демократического государства путем всеохватывающего роста, и сокращения региональных различий. Эта тема также лежит в основе Проекта.</w:t>
      </w:r>
    </w:p>
    <w:p>
      <w:pPr>
        <w:spacing w:after="240" w:before="200"/>
        <w:jc w:val="center"/>
      </w:pPr>
      <w:r>
        <w:rPr>
          <w:rFonts w:ascii="Arial" w:cs="Arial" w:eastAsia="Arial" w:hAnsi="Arial"/>
          <w:b/>
          <w:bCs/>
          <w:sz w:val="32"/>
          <w:szCs w:val="32"/>
        </w:rPr>
        <w:t xml:space="preserve">1.2. Характеристика проекта</w:t>
      </w:r>
    </w:p>
    <w:p>
      <w:pPr>
        <w:spacing w:after="120"/>
        <w:jc w:val="both"/>
      </w:pPr>
      <w:r>
        <w:rPr>
          <w:rFonts w:ascii="Arial" w:cs="Arial" w:eastAsia="Arial" w:hAnsi="Arial"/>
          <w:sz w:val="24"/>
          <w:szCs w:val="24"/>
        </w:rPr>
        <w:t xml:space="preserve">6. Указанный участок дороги Маданият - Джалал-Абад в рамках проекта реконструкции дороги Бишкек-Ош Коридора ЦАРЭС 3, Фаза IV, Правительства Кыргызской Республики, расположен в Джалал-Абадской области. Данный участок дороги (участок № 2) начинается на пересечении дороги Бишкек-Ош с ответвлением в Узбекистан на 503-м км и заканчивается на пересечении дороги Джалал-Абад - Узген, которая недавно была построена при содействии Исламского банка развития. Этот участок автомобильного коридора Бишкек-Ош проходит через три района, а именно: Ноокенский, Базар-Коргонский и Сузакский. Рельеф территории проекта ровно-волнообразный с высотой 570-860 м над уровнем моря. Общая протяженность этого участка дороги составляет 67 км между с.Маданият и г.Джалал-Абад. Карта расположения проекта показана ниже на рисунке 1.1.</w:t>
      </w:r>
    </w:p>
    <w:p>
      <w:pPr>
        <w:spacing w:after="120"/>
        <w:jc w:val="both"/>
      </w:pPr>
      <w:r>
        <w:rPr>
          <w:rFonts w:ascii="Arial" w:cs="Arial" w:eastAsia="Arial" w:hAnsi="Arial"/>
          <w:b/>
          <w:bCs/>
          <w:sz w:val="24"/>
          <w:szCs w:val="24"/>
        </w:rPr>
        <w:t xml:space="preserve">Рисунок 1.1: Карта расположения участка дороги Проекта</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sz w:val="24"/>
          <w:szCs w:val="24"/>
        </w:rPr>
        <w:t xml:space="preserve">7. Реконструкция и реабилитация данного участка дороги Коридора ЦАРЭС соединит западно-центральную часть страны и, согласно ожиданиям, должна обеспечить доступ к услугам, товарам и рынкам для населения района, а также улучшить сети наземного транспорта и повысить безопасность для всех участников дорожного движения. Благодаря реконструкции этого участка дороги, считающегося важным звеном между городами Бишкек и Ош, Проект также улучшит возможность взаимодействия на национальном и региональном уровнях.</w:t>
      </w:r>
    </w:p>
    <w:p>
      <w:pPr>
        <w:spacing w:after="120"/>
        <w:jc w:val="both"/>
      </w:pPr>
      <w:r>
        <w:rPr>
          <w:rFonts w:ascii="Arial" w:cs="Arial" w:eastAsia="Arial" w:hAnsi="Arial"/>
          <w:sz w:val="24"/>
          <w:szCs w:val="24"/>
        </w:rPr>
        <w:t xml:space="preserve">8. Большая часть участка дороги имеет двухполосную проезжую часть. Ширина дороги варьируется от 7,5 до 9 м. Придорожная полоса варьируется от 1,5 до 2,5 м. Участок дороги практически проходит через центры, затрагивающие несколько сел, принадлежащих Ноокенскому, Базар-Коргонскому и Сузакскому районам. Затрагиваемые проектом населенные пункты включают:</w:t>
      </w:r>
    </w:p>
    <w:p>
      <w:pPr>
        <w:spacing w:after="120"/>
        <w:jc w:val="both"/>
      </w:pPr>
      <w:r>
        <w:rPr>
          <w:rFonts w:ascii="Arial" w:cs="Arial" w:eastAsia="Arial" w:hAnsi="Arial"/>
          <w:sz w:val="24"/>
          <w:szCs w:val="24"/>
        </w:rPr>
        <w:t xml:space="preserve">- Село Момбеково, город Кочкор-Ата, села Ноокен, Масы и Шайдан Ноокенского района;</w:t>
      </w:r>
    </w:p>
    <w:p>
      <w:pPr>
        <w:spacing w:after="120"/>
        <w:jc w:val="both"/>
      </w:pPr>
      <w:r>
        <w:rPr>
          <w:rFonts w:ascii="Arial" w:cs="Arial" w:eastAsia="Arial" w:hAnsi="Arial"/>
          <w:sz w:val="24"/>
          <w:szCs w:val="24"/>
        </w:rPr>
        <w:t xml:space="preserve">- Акман, Бешик-Джон, Базар-Коргон и Кенеш Базар-Коргонского района;</w:t>
      </w:r>
    </w:p>
    <w:p>
      <w:pPr>
        <w:spacing w:after="120"/>
        <w:jc w:val="both"/>
      </w:pPr>
      <w:r>
        <w:rPr>
          <w:rFonts w:ascii="Arial" w:cs="Arial" w:eastAsia="Arial" w:hAnsi="Arial"/>
          <w:sz w:val="24"/>
          <w:szCs w:val="24"/>
        </w:rPr>
        <w:t xml:space="preserve">- Ырыс, Сузак, Атабекова и Барпы Сузакского района.</w:t>
      </w:r>
    </w:p>
    <w:p>
      <w:pPr>
        <w:spacing w:after="120"/>
        <w:jc w:val="both"/>
      </w:pPr>
      <w:r>
        <w:rPr>
          <w:rFonts w:ascii="Arial" w:cs="Arial" w:eastAsia="Arial" w:hAnsi="Arial"/>
          <w:sz w:val="24"/>
          <w:szCs w:val="24"/>
        </w:rPr>
        <w:t xml:space="preserve">9. Предполагается, что строительство и усовершенствование данного участка дороги окажут существенное влияние на значительное количество домохозяйств и населения, на их сельское хозяйство, земли под жилую застройку и коммерческие земли, а также на значительное количество построек и экономическое положение региона. Несмотря на то, что дорога идет в обход к югу от города Джалал-Абад - крупнейшего города района, не затрагивая центр города и городских жителей, строительство и восстановление этой дороги будет включать все меры безопасности дорожного движения, такие как установка дорожных знаков, разметка полосы движения, уличное освещение, парковка, автобусные остановки, аварийные ограждения и тротуары.</w:t>
      </w:r>
    </w:p>
    <w:p>
      <w:pPr>
        <w:spacing w:after="120"/>
        <w:jc w:val="both"/>
      </w:pPr>
      <w:r>
        <w:rPr>
          <w:rFonts w:ascii="Arial" w:cs="Arial" w:eastAsia="Arial" w:hAnsi="Arial"/>
          <w:sz w:val="24"/>
          <w:szCs w:val="24"/>
        </w:rPr>
        <w:t xml:space="preserve">10. Проект финансируется Евразийским фондом стабилизации и развития и Правительством Кыргызской Республики. МТИД КР (Заказчик) является ИА, а ГРИП непосредственно реализует данный проект. Компания Renardet S.A. Consulting Engineers совместно с RAM Engineering LLC были наняты Заказчиком в качестве Консультанта по строительному надзору (КСН) и мобилизованы в феврале 2018 года.</w:t>
      </w:r>
    </w:p>
    <w:p>
      <w:pPr>
        <w:spacing w:after="120"/>
        <w:jc w:val="both"/>
      </w:pPr>
      <w:r>
        <w:rPr>
          <w:rFonts w:ascii="Arial" w:cs="Arial" w:eastAsia="Arial" w:hAnsi="Arial"/>
          <w:b/>
          <w:bCs/>
          <w:sz w:val="24"/>
          <w:szCs w:val="24"/>
        </w:rPr>
        <w:t xml:space="preserve">1.3. Окончательная доработка ПИЗП</w:t>
      </w:r>
    </w:p>
    <w:p>
      <w:pPr>
        <w:spacing w:after="120"/>
        <w:jc w:val="both"/>
      </w:pPr>
      <w:r>
        <w:rPr>
          <w:rFonts w:ascii="Arial" w:cs="Arial" w:eastAsia="Arial" w:hAnsi="Arial"/>
          <w:sz w:val="24"/>
          <w:szCs w:val="24"/>
        </w:rPr>
        <w:t xml:space="preserve">11. На данном этапе реализации проекта ПИЗП был подготовлен и обновлен в августе 2020 года на основе документа, первоначально подготовленного в 2013 году на этапе технико-экономического обоснования в рамках проекта Кыргызстан: TA-8107-KGZ. Необходимо упомянуть, что проект реализуется подрядчиком по принципу параллельного проектирования в сотрудничестве и под непосредственным руководством Консультанта по строительному надзору (КСН). В результате, чтобы завершить/обновить данный ПИЗП, международный специалист по переселению должен был рассмотреть все аспекты реализации проекта, которые потребуют произвести Изъятие земель и Переселение (ИЗП), выявленные в ходе ДЗИ, проведенных соответствующими филиалами ГУ Кадастр (Госрегистр) на местах и на основе текущего проекта, подготовленного подрядчиком - ОсОО "АзВирт". Указанные ДЗИ проводились Госрегистром один раз в 2013 году на этапе технико-экономического обоснования, которое было обновлено в июле-августе 2019 года на основе актуального проекта дороги, подготовленного подрядчиком на этапе реализации.</w:t>
      </w:r>
    </w:p>
    <w:p>
      <w:pPr>
        <w:spacing w:after="120"/>
        <w:jc w:val="both"/>
      </w:pPr>
      <w:r>
        <w:rPr>
          <w:rFonts w:ascii="Arial" w:cs="Arial" w:eastAsia="Arial" w:hAnsi="Arial"/>
          <w:sz w:val="24"/>
          <w:szCs w:val="24"/>
        </w:rPr>
        <w:t xml:space="preserve">12. Тем не менее, настоящая оценка воздействий на затрагиваемые объекты недвижимости и другие потери дохода была проведена с учетом данных/результатов ДЗИ в условиях меняющейся ситуации. Она включает в себя все затронутые земли и собственность, а также другие связанные с проектом воздействия на владельцев этой собственности, охватывая весь дорожный Коридор воздействия (КВ). Впоследствии, в январе 2020 года, Независимое агентство по оценке имущества (НАОИ) - компания "СЛАВЯНСКИЙ ВОСТОК" - была нанята МТИД КР. Это оценочное агентство провело оценку затронутых проектом земель, собственности и других воздействий проекта, проведя детальные оценки затронутой собственности на основе результатов ДЗИ и подготовило отчет об оценке. Вышеупомянутые исследования, проведенные на этом этапе реализации, выявили некоторое увеличение количества ЗЛ наряду с воздействием ИЗП по сравнению с количеством ЗЛ, определенных на стадии технико-экономического обоснования и подготовки проекта.</w:t>
      </w:r>
    </w:p>
    <w:p>
      <w:pPr>
        <w:spacing w:after="120"/>
        <w:jc w:val="both"/>
      </w:pPr>
      <w:r>
        <w:rPr>
          <w:rFonts w:ascii="Arial" w:cs="Arial" w:eastAsia="Arial" w:hAnsi="Arial"/>
          <w:sz w:val="24"/>
          <w:szCs w:val="24"/>
        </w:rPr>
        <w:t xml:space="preserve">13. Кроме того, при обновлении данного ПИЗП были проведены полевые и административные работы для обзора и проверки несоответствий в ДЗИ и данных оценки. Кроме того, при сборе необходимых данных/информации из других источников необходимо было провести последующую обработку и анализ данных для включения в ПИЗП. Наконец, настоящий ПИЗП был подготовлен для предоставления его Заказчику, получения невозражения ЕАБР и последующего утверждения Правительством КР. После получения утверждения компетентного органа данный ПИЗП будет считаться окончательным и готовым к реализации документом.</w:t>
      </w:r>
    </w:p>
    <w:p>
      <w:pPr>
        <w:spacing w:after="120"/>
        <w:jc w:val="both"/>
      </w:pPr>
      <w:r>
        <w:rPr>
          <w:rFonts w:ascii="Arial" w:cs="Arial" w:eastAsia="Arial" w:hAnsi="Arial"/>
          <w:b/>
          <w:bCs/>
          <w:sz w:val="24"/>
          <w:szCs w:val="24"/>
        </w:rPr>
        <w:t xml:space="preserve">1.4. Цель ПИЗП</w:t>
      </w:r>
    </w:p>
    <w:p>
      <w:pPr>
        <w:spacing w:after="120"/>
        <w:jc w:val="both"/>
      </w:pPr>
      <w:r>
        <w:rPr>
          <w:rFonts w:ascii="Arial" w:cs="Arial" w:eastAsia="Arial" w:hAnsi="Arial"/>
          <w:sz w:val="24"/>
          <w:szCs w:val="24"/>
        </w:rPr>
        <w:t xml:space="preserve">14. В данном ПИЗП рассматриваются воздействия на активы и источники средств к существованию ДХ и ЗЛ в результате реализации проекта строительства участка дороги Маданият - Джалал-Абад. Данный документ охватывает только те три района, которые будут затронуты в результате строительных работ. Основная цель ПИЗП улучшить или, как минимум, компенсировать снижение/потерю средств к существованию и уровень благосостояния домохозяйств, затронутых в результате реализации проекта. Соответственно, настоящий ПИЗП разработан с учетом принципов политики ПИЗП, таким образом, чтобы обеспечить полную компенсацию всем установленным затрагиваемым проектом ДХ и ЗЛ в отношении их земель, домов, предприятий или любых других активов, доходов, средств к существованию и т.д. в связи с реконструкцией дороги. ПИЗП подготовлен в соответствии с действующим законодательством Кыргызской Республики и требованиями Положения о политике по защитным мерам (ППЗМ АБР) 2009 г.</w:t>
      </w:r>
    </w:p>
    <w:p>
      <w:pPr>
        <w:spacing w:after="120"/>
        <w:jc w:val="both"/>
      </w:pPr>
      <w:r>
        <w:rPr>
          <w:rFonts w:ascii="Arial" w:cs="Arial" w:eastAsia="Arial" w:hAnsi="Arial"/>
          <w:sz w:val="24"/>
          <w:szCs w:val="24"/>
        </w:rPr>
        <w:t xml:space="preserve">15. Настоящий ПИЗП ориентирован на устранение последствий, возникающих ввиду изъятия земли и имущества в результате строительных работ, произведенных в рамках проекта. Общая цель ПИЗП состоит в обеспечении предоставления компенсаций всем ЗЛ с учетом стоимости возмещения их потерь по текущей рыночной стоимости. В нем также учтены некоторые меры по реабилитации, включая пособия на переезд, выплаты для уязвимых ДХ и серьезности воздействия для соответствующих ЗЛ. Данные меры смогут обеспечить финансовую поддержку ЗЛ как минимум на предпроектном уровне.</w:t>
      </w:r>
    </w:p>
    <w:p>
      <w:pPr>
        <w:spacing w:after="120"/>
        <w:jc w:val="both"/>
      </w:pPr>
      <w:r>
        <w:rPr>
          <w:rFonts w:ascii="Arial" w:cs="Arial" w:eastAsia="Arial" w:hAnsi="Arial"/>
          <w:b/>
          <w:bCs/>
          <w:sz w:val="24"/>
          <w:szCs w:val="24"/>
        </w:rPr>
        <w:t xml:space="preserve">1.5. Условия одобрения проекта, связанные с ИЗП</w:t>
      </w:r>
    </w:p>
    <w:p>
      <w:pPr>
        <w:spacing w:after="120"/>
        <w:jc w:val="both"/>
      </w:pPr>
      <w:r>
        <w:rPr>
          <w:rFonts w:ascii="Arial" w:cs="Arial" w:eastAsia="Arial" w:hAnsi="Arial"/>
          <w:sz w:val="24"/>
          <w:szCs w:val="24"/>
        </w:rPr>
        <w:t xml:space="preserve">16. Исходя из политики/практики АБР, одобрение проекта зависит от следующих условий, связанных с ИЗП:</w:t>
      </w:r>
    </w:p>
    <w:p>
      <w:pPr>
        <w:spacing w:after="120"/>
        <w:jc w:val="both"/>
      </w:pPr>
      <w:r>
        <w:rPr>
          <w:rFonts w:ascii="Arial" w:cs="Arial" w:eastAsia="Arial" w:hAnsi="Arial"/>
          <w:b/>
          <w:bCs/>
          <w:sz w:val="24"/>
          <w:szCs w:val="24"/>
        </w:rPr>
        <w:t xml:space="preserve">Оценка:</w:t>
      </w:r>
      <w:r>
        <w:rPr>
          <w:rFonts w:ascii="Arial" w:cs="Arial" w:eastAsia="Arial" w:hAnsi="Arial"/>
          <w:sz w:val="24"/>
          <w:szCs w:val="24"/>
        </w:rPr>
        <w:t xml:space="preserve"> i) получения невозражения ЕАБР и последующего утверждения данного проекта ПИЗП со стороны Правительства КР; ii) предоставление полной информации по данному ПИЗП Затрагиваемым лицам (ЗЛ) и Перемещенным лицам (ПЛ).</w:t>
      </w:r>
    </w:p>
    <w:p>
      <w:pPr>
        <w:spacing w:after="120"/>
        <w:jc w:val="both"/>
      </w:pPr>
      <w:r>
        <w:rPr>
          <w:rFonts w:ascii="Arial" w:cs="Arial" w:eastAsia="Arial" w:hAnsi="Arial"/>
          <w:b/>
          <w:bCs/>
          <w:sz w:val="24"/>
          <w:szCs w:val="24"/>
        </w:rPr>
        <w:t xml:space="preserve">Выполнение ПИЗП:</w:t>
      </w:r>
      <w:r>
        <w:rPr>
          <w:rFonts w:ascii="Arial" w:cs="Arial" w:eastAsia="Arial" w:hAnsi="Arial"/>
          <w:sz w:val="24"/>
          <w:szCs w:val="24"/>
        </w:rPr>
        <w:t xml:space="preserve"> строительные работы на затронутых проектом участках дороги будут выполняться только после завершения всех операций по изъятию земли и переселению на них и получения компенсаций всеми лицами, затрагиваемыми проектом, в соответствии с положениями ПИЗП.</w:t>
      </w:r>
    </w:p>
    <w:p>
      <w:pPr>
        <w:spacing w:after="120"/>
        <w:jc w:val="both"/>
      </w:pPr>
      <w:r>
        <w:rPr>
          <w:rFonts w:ascii="Arial" w:cs="Arial" w:eastAsia="Arial" w:hAnsi="Arial"/>
          <w:b/>
          <w:bCs/>
          <w:sz w:val="24"/>
          <w:szCs w:val="24"/>
        </w:rPr>
        <w:t xml:space="preserve">Уведомление подрядчиков о начале работ</w:t>
      </w:r>
      <w:r>
        <w:rPr>
          <w:rFonts w:ascii="Arial" w:cs="Arial" w:eastAsia="Arial" w:hAnsi="Arial"/>
          <w:sz w:val="24"/>
          <w:szCs w:val="24"/>
        </w:rPr>
        <w:t xml:space="preserve">: при условии полной реализации ПИЗП в рамках дороги Маданият - Джалал-Абад (предоставление компенсаций и пособий на реабилитацию ЗЛ в полном объеме), что подлежит проверке с представлением отчета о надлежащей реализации ПИЗП.</w:t>
      </w:r>
    </w:p>
    <w:p>
      <w:pPr>
        <w:spacing w:after="120"/>
        <w:jc w:val="both"/>
      </w:pPr>
      <w:r>
        <w:rPr>
          <w:rFonts w:ascii="Arial" w:cs="Arial" w:eastAsia="Arial" w:hAnsi="Arial"/>
          <w:sz w:val="24"/>
          <w:szCs w:val="24"/>
        </w:rPr>
        <w:t xml:space="preserve">17. Однако в случае с данным проектом строительные работы начались без подготовки/окончательной доработки ПИЗП для указанных участков дороги. После мобилизации подрядчика в июле 2018 года они работали над подготовкой/обновлением проекта дороги, который был завершен в мае 2019 года. После завершения проекта последовало проведение ДЗИ, которое было завершено в августе 2019 года. Затем, в январе 2020 г. было мобилизовано оценочное агентство, которое провело оценку затронутых объектов недвижимости, завершенную в апреле 2020 г. Однако ПИЗП был подготовлен/обновлен в апреле-августе 2020 года при содействии Международного специалиста по переселению (МСП) и представлен Заказчику для окончательной доработки с последующим одобрением и утверждением компетентными органами и реализацией.</w:t>
      </w:r>
    </w:p>
    <w:p>
      <w:pPr>
        <w:spacing w:after="120"/>
        <w:jc w:val="center"/>
      </w:pPr>
      <w:r>
        <w:rPr>
          <w:rFonts w:ascii="Arial" w:cs="Arial" w:eastAsia="Arial" w:hAnsi="Arial"/>
          <w:b/>
          <w:bCs/>
          <w:sz w:val="24"/>
          <w:szCs w:val="24"/>
        </w:rPr>
        <w:t xml:space="preserve">ГЛАВА 2. МАСШТАБ ИЗЪЯТИЯ ЗЕМЛИ И ПЕРЕСЕЛЕНИЯ</w:t>
      </w:r>
    </w:p>
    <w:p>
      <w:pPr>
        <w:spacing w:after="240" w:before="200"/>
        <w:jc w:val="center"/>
      </w:pPr>
      <w:r>
        <w:rPr>
          <w:rFonts w:ascii="Arial" w:cs="Arial" w:eastAsia="Arial" w:hAnsi="Arial"/>
          <w:b/>
          <w:bCs/>
          <w:sz w:val="32"/>
          <w:szCs w:val="32"/>
        </w:rPr>
        <w:t xml:space="preserve">2.1. Масштаб изъятия земли</w:t>
      </w:r>
    </w:p>
    <w:p>
      <w:pPr>
        <w:spacing w:after="120"/>
        <w:jc w:val="both"/>
      </w:pPr>
      <w:r>
        <w:rPr>
          <w:rFonts w:ascii="Arial" w:cs="Arial" w:eastAsia="Arial" w:hAnsi="Arial"/>
          <w:sz w:val="24"/>
          <w:szCs w:val="24"/>
        </w:rPr>
        <w:t xml:space="preserve">18. Участок дороги Маданият - Джалал-Абад в рамках данного проекта будет построен на существующем профиле дороги с ее модернизацией до асфальтированной дороги с двумя полосами движения, соответствующей стандарту главной магистрали. Но для модернизации этого участка дороги необходимо обеспечить, чтобы общий поперечный профиль дороги составлял не менее 9,5 метров, а дополнительные зоны безопасности/придорожная полоса варьировались от 2,5 до 3,5 метров с обеих сторон. Ширина существующей дорожной трассы в основном варьируется от 7,5 до 9 метров. Для достижения соответствия проектной дороги стандарту главной автомагистрали необходимо обеспечить указанный минимальный общий поперечный профиль данной дороги. Значительная часть проектного участка дороги проходит через узкие долины вдоль сельскохозяйственных земель, земель под жилую застройку и коммерческих земель ряда населенных пунктов, кроме того, существенная его часть проходит через общественные/государственные земли. С этой целью была проведена детальная инвентаризация всей собственности и активов в зоне воздействия для достижения требуемого минимального профиля главной магистрали 9,5 метров и дополнительной зоны безопасности/придорожной полосы - от 2,5 до 3,5 метров с обеих сторон. Для этого потребуется значительный отвод земель, что в различной мере затронет существенное количество частных собственников и повлечет за собой переселение затронутых проектом людей, проживающих вдоль трассы дороги. Последствия на переселение на рассматриваемом участке дороги Джалал-Абадской области протяженностью 67 км были оценены КСН на основе технико-экономического обоснования один раз в 2013 году путем проведения необходимых обследований, оценки и детальных замеров, общественных слушаний и физической проверки всех затрагиваемых домохозяйств и их собственности. Воздействия проекта были дополнительно исследованы и обновлены КСН с окончательной доработкой данного ПИЗП в 2020 году. Данная доработка основывалась исключительно на последних данных и оценках ДЗИ в условиях текущей меняющейся ситуации. Окончательная оценка в рамках ДЗИ и оценочных обследований показала, что в общей сложности 31214,57 м2 разных типов земельных участков потребуют изъятия в рамках проекта. Указанный процесс изъятия земли для настоящего проекта будет иметь различное воздействие на 266 домохозяйств, в которых проживает около 1724 человека. В связи с этим разработанный ПИЗП должен охватывать указанные затрагиваемые проектом земли и объекты недвижимости, находящиеся в собственности вышеупомянутых домохозяйств и населения. Эти домохозяйства и население были учтены при подготовке настоящего ПИЗП, включая ЗЛ.</w:t>
      </w:r>
    </w:p>
    <w:p>
      <w:pPr>
        <w:spacing w:after="120"/>
        <w:jc w:val="both"/>
      </w:pPr>
      <w:r>
        <w:rPr>
          <w:rFonts w:ascii="Arial" w:cs="Arial" w:eastAsia="Arial" w:hAnsi="Arial"/>
          <w:sz w:val="24"/>
          <w:szCs w:val="24"/>
        </w:rPr>
        <w:t xml:space="preserve">19. Подробные результаты исследования и оценки последствий изъятия земли и переселения, связанные с проектом, описаны в следующей Главе-3, а описание социально-экономического состояния затронутой проектом территории и населения - в Главе-4. Ниже представлена таблица с указанием населенных пунктов, в которых имеется воздействие и длина этих населенных пунктов. В целом около 40% участка находятся под воздействием и требуют соблюдения процедур реализации настоящего ПИЗП до начала строительных работ.</w:t>
      </w:r>
    </w:p>
    <w:p>
      <w:pPr>
        <w:spacing w:after="240" w:before="200"/>
        <w:jc w:val="center"/>
      </w:pPr>
      <w:r>
        <w:rPr>
          <w:rFonts w:ascii="Arial" w:cs="Arial" w:eastAsia="Arial" w:hAnsi="Arial"/>
          <w:b/>
          <w:bCs/>
          <w:sz w:val="32"/>
          <w:szCs w:val="32"/>
        </w:rPr>
        <w:t xml:space="preserve">Таблица 2.1: Участки населенных пунктов с воздействием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2"/>
        <w:gridCol w:w="3475"/>
        <w:gridCol w:w="1867"/>
        <w:gridCol w:w="2205"/>
      </w:tblGrid>
      <w:tr>
        <w:tc>
          <w:tcPr>
            <w:tcW w:type="dxa" w:w="26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ПК</w:t>
            </w:r>
          </w:p>
        </w:tc>
        <w:tc>
          <w:tcPr>
            <w:tcW w:type="dxa" w:w="34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населенного пункта</w:t>
            </w:r>
          </w:p>
        </w:tc>
        <w:tc>
          <w:tcPr>
            <w:tcW w:type="dxa" w:w="1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Айылный аймак</w:t>
            </w:r>
          </w:p>
        </w:tc>
        <w:tc>
          <w:tcPr>
            <w:tcW w:type="dxa" w:w="2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Протяженность, 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Ноокенский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507+600-508+400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509+450-509+950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с.Калинин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510+600-512+920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с.Жазгак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512+920-513+930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с.Кыла</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514+180-516+050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с.Таштак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516+050-517+050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с.Бостон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517+050-517+480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с.Кок-Там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517+480-518+360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с.Курулуш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518+360-519+380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519+380-520+220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Новостройки Момбеков А/О</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521+300-522+480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с.Кызыл-Жылдыз</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525+100-526+800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с.Сакалды</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527+580-528+060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с.Ноокен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531+100-534+820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с.Масы</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17750</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Базар-Коргонский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538+840-543+280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с.Кенеш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543+280-544+800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с.Базар-Коргон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551+700-552+900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Жаны Акман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7160</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Сузакский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557+400-559+200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с.Сасык-Булак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567+500-568+300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питания и торговые точки</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569+740-570+380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с.Жар-Кыштак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570+380-571+220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с.Масадан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571+220-572+600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с.Ырыс</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572+600-573+300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с.Улгу</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Барпы</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574+200-574+826</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с.Кызма-Багыш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трем районам:</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31696</w:t>
            </w:r>
          </w:p>
        </w:tc>
      </w:tr>
    </w:tbl>
    <w:p>
      <w:pPr>
        <w:spacing w:after="120"/>
        <w:jc w:val="both"/>
      </w:pPr>
      <w:r>
        <w:rPr>
          <w:rFonts w:ascii="Arial" w:cs="Arial" w:eastAsia="Arial" w:hAnsi="Arial"/>
          <w:sz w:val="24"/>
          <w:szCs w:val="24"/>
        </w:rPr>
        <w:t xml:space="preserve">Рисунок 2.1: Участки населенных пунктов с воздействием</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b/>
          <w:bCs/>
          <w:sz w:val="24"/>
          <w:szCs w:val="24"/>
        </w:rPr>
        <w:t xml:space="preserve">2.2. Объем работ в рамках ПИЗП</w:t>
      </w:r>
    </w:p>
    <w:p>
      <w:pPr>
        <w:spacing w:after="120"/>
        <w:jc w:val="both"/>
      </w:pPr>
      <w:r>
        <w:rPr>
          <w:rFonts w:ascii="Arial" w:cs="Arial" w:eastAsia="Arial" w:hAnsi="Arial"/>
          <w:sz w:val="24"/>
          <w:szCs w:val="24"/>
        </w:rPr>
        <w:t xml:space="preserve">20. Реализация проекта строительства участка дороги Маданият - Джалал-Абад осуществляется МТИД КР при финансировании ЕФСР. Изначально ПИЗП был подготовлен на этапе технико-экономического обоснования в 2013 году, который на данном этапе внедрения и для последующей его реализации требует обновления/доработки. Полоса отвода дороги (ПОД) проектируется вдоль существующей дороги, которая берется за основу, с необходимым ее последующим расширением и выпрямлением. Вышеупомянутые мероприятия по строительству и улучшению дорог требуют приобретения значительного количества земли с последующим воздействием на владельцев этих земель и право собственность. Оценка проводилась с учетом различных исследований/проверок и анализа, включая строительные работы по переносу коммуникаций.</w:t>
      </w:r>
    </w:p>
    <w:p>
      <w:pPr>
        <w:spacing w:after="120"/>
        <w:jc w:val="both"/>
      </w:pPr>
      <w:r>
        <w:rPr>
          <w:rFonts w:ascii="Arial" w:cs="Arial" w:eastAsia="Arial" w:hAnsi="Arial"/>
          <w:sz w:val="24"/>
          <w:szCs w:val="24"/>
        </w:rPr>
        <w:t xml:space="preserve">21. Оценка потерь вследствие изъятия земли по вышеуказанным причинам была сделана на основе окончательного детального технического проекта. Подготовка ПИЗП производилась и другие социальные вопросы решались в соответствии с ППЗМ АКР (2009 г.). Таким образом, настоящий ПИЗП для данного участка дороги был подготовлен и обновлен в соответствии с требованиями ППЗМ АБР 2009 года и законодательства Кыргызской Республики, охватывающими вопросы изъятия земли в рамках рассматриваемого проекта. Данный ПИЗП был подготовлен, обновлен и доработан в рамках текущей Программы консультирования. Подготовка и окончательная доработка ПИЗП включала: (i) подробные исследования, оценку активов/документальные исследования затрагиваемых проектом участков земли, потерю другого имущества и доходов лиц, затрагиваемых проектом, а также (ii) необходимые исследования и консультации с участием ЗДХ, населения и других заинтересованных сторон проекта.</w:t>
      </w:r>
    </w:p>
    <w:p>
      <w:pPr>
        <w:spacing w:after="120"/>
        <w:jc w:val="both"/>
      </w:pPr>
      <w:r>
        <w:rPr>
          <w:rFonts w:ascii="Arial" w:cs="Arial" w:eastAsia="Arial" w:hAnsi="Arial"/>
          <w:b/>
          <w:bCs/>
          <w:sz w:val="24"/>
          <w:szCs w:val="24"/>
        </w:rPr>
        <w:t xml:space="preserve">2.3. Меры, предпринятые для минимизации воздействия ИЗП</w:t>
      </w:r>
    </w:p>
    <w:p>
      <w:pPr>
        <w:spacing w:after="120"/>
        <w:jc w:val="both"/>
      </w:pPr>
      <w:r>
        <w:rPr>
          <w:rFonts w:ascii="Arial" w:cs="Arial" w:eastAsia="Arial" w:hAnsi="Arial"/>
          <w:sz w:val="24"/>
          <w:szCs w:val="24"/>
        </w:rPr>
        <w:t xml:space="preserve">22. В ходе подготовки проекта КСН уделил пристальное внимание вопросам максимально возможною снижения воздействия проекта, связанного с необходимостью переселения, что является главным принципом АБР. На этапе технико-экономического обоснования/подготовки проекта, технические параметры проекта обсуждались между командой инженеров, местными официальными лицами и экспертами по переселению, основной задачей которого было сведение к минимуму необходимость изъятия земли и сноса объектов. Предложения по строительству новых и/или модернизации существующих дорог (для которых необходимо предусмотреть зоны выемки и площадки для отвала грунта, временные земли для строительства и т.д.) могут оказывать существенное негативное влияние на ЗЛ, которое влечет за собой изменения в вопросах землепользования и используемых ресурсах, жилья, средств к существованию и доступа. Например, объекты, которые несут сильное отрицательное и постоянное социальное воздействие, включают те, что требуют изъятия земли на постоянной основе вследствие нового строительства/расширения дороги. Кроме того, строительные работы могут потребовать временного изъятия земли для создания строительных площадок, карьеров грунта и площадок для отвалов, которые, рассматриваются в качестве имеющих ограниченные и временные негативные социальные последствия.</w:t>
      </w:r>
    </w:p>
    <w:p>
      <w:pPr>
        <w:spacing w:after="120"/>
        <w:jc w:val="both"/>
      </w:pPr>
      <w:r>
        <w:rPr>
          <w:rFonts w:ascii="Arial" w:cs="Arial" w:eastAsia="Arial" w:hAnsi="Arial"/>
          <w:sz w:val="24"/>
          <w:szCs w:val="24"/>
        </w:rPr>
        <w:t xml:space="preserve">23. Несмотря на то, что Проектировщики тщательно продумали меры по сокращению площадей земли, необходимой для Проекта, строительные работы неизбежно приведут к потере части земли у некоторых собственников. Более того, эти процессы, скорее всего, приведут к незначительным изменениям в структуре населения в целом на территории проекта.</w:t>
      </w:r>
    </w:p>
    <w:p>
      <w:pPr>
        <w:spacing w:after="120"/>
        <w:jc w:val="both"/>
      </w:pPr>
      <w:r>
        <w:rPr>
          <w:rFonts w:ascii="Arial" w:cs="Arial" w:eastAsia="Arial" w:hAnsi="Arial"/>
          <w:sz w:val="24"/>
          <w:szCs w:val="24"/>
        </w:rPr>
        <w:t xml:space="preserve">24. В ходе подготовки проекта большим количеством инженеров, консультантов по защитным мерам, местных властей и жителей упоминалось и обсуждалось множество решений по снижению воздействия на изъятие земли. Прежде всего, были предприняты возможные меры по минимизации воздействия переселения вдоль участка дороги путем изменения/обновления технического проекта. Группы технической и социальной защиты совместно работали над минимизацией воздействий ИЗП, проанализировав проект, подготовленный подрядчиком. Основываясь на проектном решении и осуществляя выезды на площадку проекта, были приложены максимальные усилия для определения участков, где есть возможность минимизировать воздействие ИЗП. На некоторых участках, подпадающих под значительное воздействие, выравнивание главной проезжей части и кольцевой развязки/перекрестков было переориентировано с целью минимизации воздействий. По результатам вышеуказанной работы было исключено 13 различных объектов, включая жилые дома и другие постройки:</w:t>
      </w:r>
    </w:p>
    <w:p>
      <w:pPr>
        <w:spacing w:after="120"/>
        <w:jc w:val="both"/>
      </w:pPr>
      <w:r>
        <w:rPr>
          <w:rFonts w:ascii="Arial" w:cs="Arial" w:eastAsia="Arial" w:hAnsi="Arial"/>
          <w:b/>
          <w:bCs/>
          <w:sz w:val="24"/>
          <w:szCs w:val="24"/>
        </w:rPr>
        <w:t xml:space="preserve">Таблица 2.2: Исключенные объекты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 (село)</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исключенных объектов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Момбеково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Атабеково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25. На данном этапе реализации проекта представители ГРИП, подрядчик и КСН в разные периоды времени посещали проектную дорогу для определения возможности дополнительного снижения негативного воздействия ИЗП. В результате, на некоторых участках дороги такое воздействие можно было минимизировать. Однако, первоначальный проект, подготовленный на этапе технико-экономического обоснования в 2013 году, предусматривал необходимость внесения изменений из-за расширения некоторых частей автомобильной дороги, что связано с дополнительным изъятием земли и соответственно, увеличении воздействия на ЗДХ и ЗЛ. С целью минимизации изъятия земли были применены следующие принципы проектирования, которые в некоторой степени были признаны полезными для минимизации требований к изъятию земли. Эти принципы включают:</w:t>
      </w:r>
    </w:p>
    <w:p>
      <w:pPr>
        <w:spacing w:after="120"/>
        <w:jc w:val="both"/>
      </w:pPr>
      <w:r>
        <w:rPr>
          <w:rFonts w:ascii="Arial" w:cs="Arial" w:eastAsia="Arial" w:hAnsi="Arial"/>
          <w:b/>
          <w:bCs/>
          <w:sz w:val="24"/>
          <w:szCs w:val="24"/>
        </w:rPr>
        <w:t xml:space="preserve">Принцип проектирования</w:t>
      </w:r>
      <w:r>
        <w:rPr>
          <w:rFonts w:ascii="Arial" w:cs="Arial" w:eastAsia="Arial" w:hAnsi="Arial"/>
          <w:sz w:val="24"/>
          <w:szCs w:val="24"/>
        </w:rPr>
        <w:t xml:space="preserve"> - самый современный способ/практика, используемые для экономии затрат на строительство и снижения требований по изъятию земли, заключается в соблюдении стандартов и мер, которые ограничивают такое воздействие в необходимом месте. Согласно данному принципу, трасса автомобильной дороги в основном прокладывается вдоль существующих маршрутов с расширением дороги только для того, чтобы обеспечить соблюдение требуемого размера профиля дороги.</w:t>
      </w:r>
    </w:p>
    <w:p>
      <w:pPr>
        <w:spacing w:after="120"/>
        <w:jc w:val="both"/>
      </w:pPr>
      <w:r>
        <w:rPr>
          <w:rFonts w:ascii="Arial" w:cs="Arial" w:eastAsia="Arial" w:hAnsi="Arial"/>
          <w:b/>
          <w:bCs/>
          <w:sz w:val="24"/>
          <w:szCs w:val="24"/>
        </w:rPr>
        <w:t xml:space="preserve">Инспекция участков, подвергающихся основным воздействиям, путем посещения площадки проекта:</w:t>
      </w:r>
      <w:r>
        <w:rPr>
          <w:rFonts w:ascii="Arial" w:cs="Arial" w:eastAsia="Arial" w:hAnsi="Arial"/>
          <w:sz w:val="24"/>
          <w:szCs w:val="24"/>
        </w:rPr>
        <w:t xml:space="preserve"> Команда КСН проекта по переселению, включая руководителя и других задействованных инженеров КСН и подрядчика совместно посетили некоторые области реализации проекта для изучения воздействий на переселение. В ходе данных мероприятий в некоторых случаях после проведения ДЗИ были выявлены дополнительные ЗЛ, и, как следствие, Предварительный проект подлежит переработке для того, чтобы в результате анализа проекта некоторые ЗЛ могли быть исключены из зоны воздействия проекта.</w:t>
      </w:r>
    </w:p>
    <w:p>
      <w:pPr>
        <w:spacing w:after="120"/>
        <w:jc w:val="both"/>
      </w:pPr>
      <w:r>
        <w:rPr>
          <w:rFonts w:ascii="Arial" w:cs="Arial" w:eastAsia="Arial" w:hAnsi="Arial"/>
          <w:b/>
          <w:bCs/>
          <w:sz w:val="24"/>
          <w:szCs w:val="24"/>
        </w:rPr>
        <w:t xml:space="preserve">2.4. Крайний срок действия права на компенсацию</w:t>
      </w:r>
    </w:p>
    <w:p>
      <w:pPr>
        <w:spacing w:after="120"/>
        <w:jc w:val="both"/>
      </w:pPr>
      <w:r>
        <w:rPr>
          <w:rFonts w:ascii="Arial" w:cs="Arial" w:eastAsia="Arial" w:hAnsi="Arial"/>
          <w:sz w:val="24"/>
          <w:szCs w:val="24"/>
        </w:rPr>
        <w:t xml:space="preserve">26. Крайний срок действия права на получение компенсации обычно устанавливается после проведения ДЗИ, переписи и социально-экономического обследования затрагиваемых проектом домохозяйств/людей. Для данного проекта ДЗИ проводились Госрегистром один раз в 2013 году на этапе технико-экономического обоснования, которое в период с июля по август 2019 года было дополнительно обновлено с выполнением нового ДЗИ КИЗП совместно с филиалами ГУ Кадастр (Госрегистр) соответствующих районов на основе текущего/последнего проекта дороги, подготовленного подрядчиком на данном этапе реализации. Таким образом, крайним сроком действия права на получение компенсации может считаться 31 августа 2019 года, т.е. дата завершения ДЗИ. Информация об этом широко распространялась на территории действия проекта. Если в результате дальнейшего анализа проекта подрядчиком в ходе его реализации обнаружатся какие-либо дополнительные воздействия, в этом случае, вновь определенные ЗЛ будут иметь право на компенсацию в соответствии с ПИЗП. В ходе проведения нового исследования было обнаружено увеличение количества ЗЛ по сравнению с их количеством, установленным на стадии технико-экономического обоснования ввиду изменения категории автомобильной дороги с 3 на 2.</w:t>
      </w:r>
    </w:p>
    <w:p>
      <w:pPr>
        <w:spacing w:after="120"/>
        <w:jc w:val="both"/>
      </w:pPr>
      <w:r>
        <w:rPr>
          <w:rFonts w:ascii="Arial" w:cs="Arial" w:eastAsia="Arial" w:hAnsi="Arial"/>
          <w:b/>
          <w:bCs/>
          <w:sz w:val="24"/>
          <w:szCs w:val="24"/>
        </w:rPr>
        <w:t xml:space="preserve">2.5. Классификация в разрезе социальных гарантий и переселения</w:t>
      </w:r>
    </w:p>
    <w:p>
      <w:pPr>
        <w:spacing w:after="120"/>
        <w:jc w:val="both"/>
      </w:pPr>
      <w:r>
        <w:rPr>
          <w:rFonts w:ascii="Arial" w:cs="Arial" w:eastAsia="Arial" w:hAnsi="Arial"/>
          <w:b/>
          <w:bCs/>
          <w:sz w:val="24"/>
          <w:szCs w:val="24"/>
        </w:rPr>
        <w:t xml:space="preserve">I) Классификационная система АБР</w:t>
      </w:r>
    </w:p>
    <w:p>
      <w:pPr>
        <w:spacing w:after="120"/>
        <w:jc w:val="both"/>
      </w:pPr>
      <w:r>
        <w:rPr>
          <w:rFonts w:ascii="Arial" w:cs="Arial" w:eastAsia="Arial" w:hAnsi="Arial"/>
          <w:sz w:val="24"/>
          <w:szCs w:val="24"/>
        </w:rPr>
        <w:t xml:space="preserve">27. Перед началом строительных работ необходимо принять во внимание воздействие на переселение, что является необходимым для проектов, реализуемых при поддержке АБР, и классификацию данных воздействий согласно следующей системе классификации АБР:</w:t>
      </w:r>
    </w:p>
    <w:p>
      <w:pPr>
        <w:spacing w:after="120"/>
        <w:jc w:val="both"/>
      </w:pPr>
      <w:r>
        <w:rPr>
          <w:rFonts w:ascii="Arial" w:cs="Arial" w:eastAsia="Arial" w:hAnsi="Arial"/>
          <w:b/>
          <w:bCs/>
          <w:sz w:val="24"/>
          <w:szCs w:val="24"/>
        </w:rPr>
        <w:t xml:space="preserve">- Категория А</w:t>
      </w:r>
      <w:r>
        <w:rPr>
          <w:rFonts w:ascii="Arial" w:cs="Arial" w:eastAsia="Arial" w:hAnsi="Arial"/>
          <w:sz w:val="24"/>
          <w:szCs w:val="24"/>
        </w:rPr>
        <w:t xml:space="preserve">: Воздействие на переселение считается значительными и подпадает под категорию "А", если оно вызвало значительное по размерам вынужденное переселение с физическим перемещением 200 или более человек из мест их проживания, или если 200 или более человек теряют 10% или более своих производственных или приносящих доход активов, а также если затронуто более 200 человек или если 200 или более человек подвергаются комбинации данных воздействий.</w:t>
      </w:r>
    </w:p>
    <w:p>
      <w:pPr>
        <w:spacing w:after="120"/>
        <w:jc w:val="both"/>
      </w:pPr>
      <w:r>
        <w:rPr>
          <w:rFonts w:ascii="Arial" w:cs="Arial" w:eastAsia="Arial" w:hAnsi="Arial"/>
          <w:b/>
          <w:bCs/>
          <w:sz w:val="24"/>
          <w:szCs w:val="24"/>
        </w:rPr>
        <w:t xml:space="preserve">- Категория В</w:t>
      </w:r>
      <w:r>
        <w:rPr>
          <w:rFonts w:ascii="Arial" w:cs="Arial" w:eastAsia="Arial" w:hAnsi="Arial"/>
          <w:sz w:val="24"/>
          <w:szCs w:val="24"/>
        </w:rPr>
        <w:t xml:space="preserve">: Любой предложенный проект, который включает в себя последствия вынужденного переселения, которые не считаются значительными с точки зрения потери жилья/домов, а также производственных или приносящих доход активов, будет отнесен к категории В.</w:t>
      </w:r>
    </w:p>
    <w:p>
      <w:pPr>
        <w:spacing w:after="120"/>
        <w:jc w:val="both"/>
      </w:pPr>
      <w:r>
        <w:rPr>
          <w:rFonts w:ascii="Arial" w:cs="Arial" w:eastAsia="Arial" w:hAnsi="Arial"/>
          <w:b/>
          <w:bCs/>
          <w:sz w:val="24"/>
          <w:szCs w:val="24"/>
        </w:rPr>
        <w:t xml:space="preserve">- Категория С</w:t>
      </w:r>
      <w:r>
        <w:rPr>
          <w:rFonts w:ascii="Arial" w:cs="Arial" w:eastAsia="Arial" w:hAnsi="Arial"/>
          <w:sz w:val="24"/>
          <w:szCs w:val="24"/>
        </w:rPr>
        <w:t xml:space="preserve">: предлагаемый проект, который не оказывает воздействия на вынужденное переселение.</w:t>
      </w:r>
    </w:p>
    <w:p>
      <w:pPr>
        <w:spacing w:after="120"/>
        <w:jc w:val="both"/>
      </w:pPr>
      <w:r>
        <w:rPr>
          <w:rFonts w:ascii="Arial" w:cs="Arial" w:eastAsia="Arial" w:hAnsi="Arial"/>
          <w:b/>
          <w:bCs/>
          <w:sz w:val="24"/>
          <w:szCs w:val="24"/>
        </w:rPr>
        <w:t xml:space="preserve">II) Категория проекта строительства дороги "Маданият - Джалал-Абад"</w:t>
      </w:r>
    </w:p>
    <w:p>
      <w:pPr>
        <w:spacing w:after="120"/>
        <w:jc w:val="both"/>
      </w:pPr>
      <w:r>
        <w:rPr>
          <w:rFonts w:ascii="Arial" w:cs="Arial" w:eastAsia="Arial" w:hAnsi="Arial"/>
          <w:sz w:val="24"/>
          <w:szCs w:val="24"/>
        </w:rPr>
        <w:t xml:space="preserve">28. Проект не требует осуществления защитных мер или соблюдения требований в отношении коренного населения в рамках ПЗМ АБР. Однако Проектом предусматривается крупномасштабное изъятие земель или вынужденное переселение. В этой связи рассматриваемому проекту была присвоена категория "А" ввиду вынужденного переселения.</w:t>
      </w:r>
    </w:p>
    <w:p>
      <w:pPr>
        <w:spacing w:after="120"/>
        <w:jc w:val="both"/>
      </w:pPr>
      <w:r>
        <w:rPr>
          <w:rFonts w:ascii="Arial" w:cs="Arial" w:eastAsia="Arial" w:hAnsi="Arial"/>
          <w:b/>
          <w:bCs/>
          <w:sz w:val="24"/>
          <w:szCs w:val="24"/>
        </w:rPr>
        <w:t xml:space="preserve">ГЛАВА 3. ВОЗДЕЙСТВИЯ ПРОЕКТА НА ИЗЪЯТИЕ ЗЕМЛИ И ПЕРЕСЕЛЕНИЕ</w:t>
      </w:r>
    </w:p>
    <w:p>
      <w:pPr>
        <w:spacing w:after="120"/>
        <w:jc w:val="both"/>
      </w:pPr>
      <w:r>
        <w:rPr>
          <w:rFonts w:ascii="Arial" w:cs="Arial" w:eastAsia="Arial" w:hAnsi="Arial"/>
          <w:b/>
          <w:bCs/>
          <w:sz w:val="24"/>
          <w:szCs w:val="24"/>
        </w:rPr>
        <w:t xml:space="preserve">3.1. Методология оценки воздействия на ИЗП</w:t>
      </w:r>
    </w:p>
    <w:p>
      <w:pPr>
        <w:spacing w:after="120"/>
        <w:jc w:val="both"/>
      </w:pPr>
      <w:r>
        <w:rPr>
          <w:rFonts w:ascii="Arial" w:cs="Arial" w:eastAsia="Arial" w:hAnsi="Arial"/>
          <w:sz w:val="24"/>
          <w:szCs w:val="24"/>
        </w:rPr>
        <w:t xml:space="preserve">29. Затрагиваемые проектом лица и имущество имеющие отношение к данному участку дороги, изначально были определены на стадии технико-экономического обоснования в 2013 году. В то время Государственная регистрационная служба (Госрегистр) соответствующих районов провело ДЗИ. Это же агентство ГУ Кадастр (Госрегистр) при содействии районных межведомственных комиссий (КИЗП) обновило имеющиеся данные, проведя в период с июля по август 2019 дальнейшие детальные замеры/анализ. Это обновление также было сделано на основе текущего/последнего проекта дороги, подготовленного подрядчиком под непосредственным руководством КСН.</w:t>
      </w:r>
    </w:p>
    <w:p>
      <w:pPr>
        <w:spacing w:after="120"/>
        <w:jc w:val="both"/>
      </w:pPr>
      <w:r>
        <w:rPr>
          <w:rFonts w:ascii="Arial" w:cs="Arial" w:eastAsia="Arial" w:hAnsi="Arial"/>
          <w:sz w:val="24"/>
          <w:szCs w:val="24"/>
        </w:rPr>
        <w:t xml:space="preserve">30. Кроме того, была проведена дополнительная оценка текущих воздействий на затрагиваемое имущество и другие потери дохода на основе вышеуказанных ДЗИ с учетом нынешней меняющейся ситуации. Она включала в себя все затронутые земли и имущество, охватывая весь Дорожный коридор воздействия (ДКВ). Впоследствии, в январе 2020 года, Департамент дорожного хозяйства (ДДХ МТИД КР) привлекло Независимое агентство по оценке имущества (НАОИ) - "Центр оценки Славянский Восток". НАОИ произвело оценку затронутых земель и имущества, а также других воздействий проекта на основе обновленных результатов ДЗИ по каждому из затрагиваемых домохозяйств и лиц, предоставленных районными межведомственными комиссиями. НАОИ провело детальную оценку всех затронутых объектов на основе последних результатов ДЗИ и подготовило отчет об оценке.</w:t>
      </w:r>
    </w:p>
    <w:p>
      <w:pPr>
        <w:spacing w:after="120"/>
        <w:jc w:val="both"/>
      </w:pPr>
      <w:r>
        <w:rPr>
          <w:rFonts w:ascii="Arial" w:cs="Arial" w:eastAsia="Arial" w:hAnsi="Arial"/>
          <w:sz w:val="24"/>
          <w:szCs w:val="24"/>
        </w:rPr>
        <w:t xml:space="preserve">31. В ходе подготовки/обновления настоящего ПИЗП специалисты по переселению КСН произвели дополнительный обзор данных/информации, предоставленных Госрегистром, местными районами/сообществами и оценочным агентством для их включения в ПИЗП. МСП и НСП провели соответствующие выезды на места, консультации с Госрегистром, НАОИ, местными органами власти, представителями общественности и другими соответствующими заинтересованными сторонами проекта, включая ЗЛ проекта. В нижеследующих разделах этой главы представлены различные типы воздействия ИЗП, обладающие различным потенциалом, а также другие соответствующие воздействия с указанием статуса собственности затронутых объектов. При этом, результаты оценки, т.е. стоимость приобретенной земли и недвижимости, соответствующая воздействиям, возникающим в результате реализации проекта и строительства этой дороги, представлены в бюджете и других соответствующих главах данного отчета.</w:t>
      </w:r>
    </w:p>
    <w:p>
      <w:pPr>
        <w:spacing w:after="120"/>
        <w:jc w:val="both"/>
      </w:pPr>
      <w:r>
        <w:rPr>
          <w:rFonts w:ascii="Arial" w:cs="Arial" w:eastAsia="Arial" w:hAnsi="Arial"/>
          <w:b/>
          <w:bCs/>
          <w:sz w:val="24"/>
          <w:szCs w:val="24"/>
        </w:rPr>
        <w:t xml:space="preserve">3.2. Воздействие ИЗП на домохозяйства и население</w:t>
      </w:r>
    </w:p>
    <w:p>
      <w:pPr>
        <w:spacing w:after="120"/>
        <w:jc w:val="both"/>
      </w:pPr>
      <w:r>
        <w:rPr>
          <w:rFonts w:ascii="Arial" w:cs="Arial" w:eastAsia="Arial" w:hAnsi="Arial"/>
          <w:sz w:val="24"/>
          <w:szCs w:val="24"/>
        </w:rPr>
        <w:t xml:space="preserve">32. Проект затрагивает три района, а именно; Ноокенский, Базар-Коргонский и Сузакский, воздействуя на 13 населенных пунктов этих районов. На основании самых последних результатов ДЗИ было выявлено, что в общей сложности будут затронуты 266 домохозяйств с населением 1724 человек вследствие изъятия земли для проекта. Кроме того, в результате реализации проекта будет затронуто 4 государственных и муниципальных объектов. Из общего числа домохозяйств 81 возглавляют женщины, причем этот показатель наиболее высок в Ноокенском районе - 61 домохозяйство. Согласно имеющимся данным, наибольшее количество затрагиваемых проектом домохозяйств приходится на Ноокенский район (200 домохозяйств с населением около 1324 человека), за ним следует Базар-Коргон - 37 домохозяйств. Число затронутых ДХ, населения и других сторон в связи с изъятием земли для проекта представлено в нижеследующей таблице (Таблица 3.1). Данные представлены соответствующими сельскими администрациями затрагиваемых проектом районов.</w:t>
      </w:r>
    </w:p>
    <w:p>
      <w:pPr>
        <w:spacing w:after="120"/>
        <w:jc w:val="both"/>
      </w:pPr>
      <w:r>
        <w:rPr>
          <w:rFonts w:ascii="Arial" w:cs="Arial" w:eastAsia="Arial" w:hAnsi="Arial"/>
          <w:b/>
          <w:bCs/>
          <w:sz w:val="24"/>
          <w:szCs w:val="24"/>
        </w:rPr>
        <w:t xml:space="preserve">Таблица 3.1: Затрагиваемые домохозяйства, государственные объекты и население затрагиваемых проектом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1"/>
        <w:gridCol w:w="1217"/>
        <w:gridCol w:w="1217"/>
        <w:gridCol w:w="1217"/>
        <w:gridCol w:w="1861"/>
        <w:gridCol w:w="2016"/>
      </w:tblGrid>
      <w:tr>
        <w:tc>
          <w:tcPr>
            <w:tcW w:type="dxa" w:w="26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 и населенных пунктов</w:t>
            </w:r>
          </w:p>
        </w:tc>
        <w:tc>
          <w:tcPr>
            <w:tcW w:type="dxa" w:w="36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глав домохозяйств по половому признаку</w:t>
            </w:r>
          </w:p>
        </w:tc>
        <w:tc>
          <w:tcPr>
            <w:tcW w:type="dxa" w:w="1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населения</w:t>
            </w:r>
          </w:p>
        </w:tc>
        <w:tc>
          <w:tcPr>
            <w:tcW w:type="dxa" w:w="20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число государственных объектов</w:t>
            </w:r>
          </w:p>
        </w:tc>
      </w:tr>
      <w:tr>
        <w:tc>
          <w:tcPr>
            <w:vMerge w:val="continue"/>
            <w:tcBorders>
              <w:top w:val="single" w:color="CBBF9E" w:sz="4"/>
              <w:left w:val="single" w:color="CBBF9E" w:sz="4"/>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Ноокенский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с.Момбеков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с.Кочкор-Ата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с.Ноокен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с.Массы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с.Шайдан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Базар-Коргонский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208</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с.Акман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с.Бешик-Жон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с.Базар-Коргон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с.Кенеш</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Сузакский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192</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с.Сузак</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с.Атабеков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с.Ырыс</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с.Барпы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все районы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Источник: местные органы власти и государственные районные администрации.</w:t>
      </w:r>
    </w:p>
    <w:p>
      <w:pPr>
        <w:spacing w:after="120"/>
        <w:jc w:val="both"/>
      </w:pPr>
      <w:r>
        <w:rPr>
          <w:rFonts w:ascii="Arial" w:cs="Arial" w:eastAsia="Arial" w:hAnsi="Arial"/>
          <w:b/>
          <w:bCs/>
          <w:sz w:val="24"/>
          <w:szCs w:val="24"/>
        </w:rPr>
        <w:t xml:space="preserve">3.3. Воздействия, связанные с изъятием земли</w:t>
      </w:r>
    </w:p>
    <w:p>
      <w:pPr>
        <w:spacing w:after="120"/>
        <w:jc w:val="both"/>
      </w:pPr>
      <w:r>
        <w:rPr>
          <w:rFonts w:ascii="Arial" w:cs="Arial" w:eastAsia="Arial" w:hAnsi="Arial"/>
          <w:sz w:val="24"/>
          <w:szCs w:val="24"/>
        </w:rPr>
        <w:t xml:space="preserve">33. На основании результатов, обновленных ДЗИ и результатов оценки, было выявлено, что в общей сложности у трех затрагиваемых районов необходимо изъять 31214,57 м2 земли на постоянной основе с целью использования в рамках проекта для различных целей. В общей сложности 266 домохозяйств и 4 объекта, находящиеся в государственной и муниципальной собственности могут навсегда полностью или частично потерять свои земли и другие активы. В данном контексте речь идет об использовании земли, затрагиваемой проектом. Данные ДЗИ показывают, что эти затрагиваемые земли используются под жилую застройку, а также в коммерческих и других целях. Согласно данным ДЗИ, наибольшее количество земель общей площадью около 19339,17 м2 находятся в населенных пунктах и предназначены для жилой застройки, за ними следуют коммерческие земли - 8076,4 м2 и сельскохозяйственные земли - 3799,0 м2. Из общей площади затронутых земель около 56% земель используются под сельскохозяйственные угодья.</w:t>
      </w:r>
    </w:p>
    <w:p>
      <w:pPr>
        <w:spacing w:after="120"/>
        <w:jc w:val="both"/>
      </w:pPr>
      <w:r>
        <w:rPr>
          <w:rFonts w:ascii="Arial" w:cs="Arial" w:eastAsia="Arial" w:hAnsi="Arial"/>
          <w:sz w:val="24"/>
          <w:szCs w:val="24"/>
        </w:rPr>
        <w:t xml:space="preserve">34. Что касается форм владения затрагиваемых проектом земель, данные указывают на то, что из общего числа затронутых земель, большая их часть (29564,97 м2 - более 94% земель) находятся в частной собственности и принадлежат 243 домохозяйствам. Кроме того, было установлено, что одно ДХ использует земли площадью 12,0 м2 незаконно, а одно ДХ используют государственные земли площадью 11,9 м2. Подробная информация о воздействиях на земельные участки, их использовании и статусах владения в разрезе районов представлена в Таблице 3.2.</w:t>
      </w:r>
    </w:p>
    <w:p>
      <w:pPr>
        <w:spacing w:after="120"/>
        <w:jc w:val="both"/>
      </w:pPr>
      <w:r>
        <w:rPr>
          <w:rFonts w:ascii="Arial" w:cs="Arial" w:eastAsia="Arial" w:hAnsi="Arial"/>
          <w:b/>
          <w:bCs/>
          <w:sz w:val="24"/>
          <w:szCs w:val="24"/>
        </w:rPr>
        <w:t xml:space="preserve">Таблица 3.2: Воздействия на ДХ и юридические лица, связанные с изъятием земли, в разрезе типов ее использования и форм владения в затрагиваемых районах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8"/>
        <w:gridCol w:w="1233"/>
        <w:gridCol w:w="920"/>
        <w:gridCol w:w="755"/>
        <w:gridCol w:w="755"/>
        <w:gridCol w:w="755"/>
        <w:gridCol w:w="755"/>
        <w:gridCol w:w="755"/>
        <w:gridCol w:w="755"/>
        <w:gridCol w:w="755"/>
        <w:gridCol w:w="755"/>
      </w:tblGrid>
      <w:tr>
        <w:tc>
          <w:tcPr>
            <w:tcW w:type="dxa" w:w="19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земельных участков по районам</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ДХ/объектов</w:t>
            </w:r>
          </w:p>
        </w:tc>
        <w:tc>
          <w:tcPr>
            <w:tcW w:type="dxa" w:w="9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(м2)</w:t>
            </w:r>
          </w:p>
        </w:tc>
        <w:tc>
          <w:tcPr>
            <w:tcW w:type="dxa" w:w="604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статус и количество домохозяйств, затрагиваемых проектом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Частная собственность</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использование</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муниципальные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(мг)</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Итого по Ноокенскому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22069,98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21434,98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5418,58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4783,58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Итого по Базаркоргонскому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2706,32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1703,62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1908,72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906,02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Итого по Сузакскому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6438,27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6426,37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трем районам</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6426,8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(А+В+С)</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31214,57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29564,97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r>
    </w:tbl>
    <w:p>
      <w:pPr>
        <w:spacing w:after="120"/>
        <w:jc w:val="both"/>
      </w:pPr>
      <w:r>
        <w:rPr>
          <w:rFonts w:ascii="Arial" w:cs="Arial" w:eastAsia="Arial" w:hAnsi="Arial"/>
          <w:sz w:val="24"/>
          <w:szCs w:val="24"/>
        </w:rPr>
        <w:t xml:space="preserve">Источник: НАОИ на основе данных ДЗИ.</w:t>
      </w:r>
    </w:p>
    <w:p>
      <w:pPr>
        <w:spacing w:after="120"/>
        <w:jc w:val="both"/>
      </w:pPr>
      <w:r>
        <w:rPr>
          <w:rFonts w:ascii="Arial" w:cs="Arial" w:eastAsia="Arial" w:hAnsi="Arial"/>
          <w:b/>
          <w:bCs/>
          <w:sz w:val="24"/>
          <w:szCs w:val="24"/>
        </w:rPr>
        <w:t xml:space="preserve">3.4. Воздействия на различные типы строений</w:t>
      </w:r>
    </w:p>
    <w:p>
      <w:pPr>
        <w:spacing w:after="120"/>
        <w:jc w:val="both"/>
      </w:pPr>
      <w:r>
        <w:rPr>
          <w:rFonts w:ascii="Arial" w:cs="Arial" w:eastAsia="Arial" w:hAnsi="Arial"/>
          <w:sz w:val="24"/>
          <w:szCs w:val="24"/>
        </w:rPr>
        <w:t xml:space="preserve">35. Строительство и модернизация в рамках настоящего дорожного проекта окажут воздействие примерно на 533 (без дополнительного уточнения) строений, принадлежащих 193 ДХ/объектам все трех районов. Было выявлено, что в результате проекта затронуто в общей сложности около 13673,5 м2 земель со строениями различных типов, которые потребуют сноса. Из общего числа затронутых строений 13429,4 м2 площади этих строений принадлежат 193 домохозяйствам, 232,1 м2 площади находятся в государственной собственности и одно домохозяйство использует 12 м2 по договору аренды. С точки зрения типов и их использования, эти затрагиваемые проектом строения, подразделяются на следующие общие категории: жилые дома, времянки, коммерческие здания, навесы, контейнеры, стены/заборы и другое. Из общего числа 193-х домохозяйств в 12-ти воздействию подверглись дома, в 8-ми - времянки, в 27-ми - коммерческие здания, в 74-х - навесы, в 8 - контейнеры, в 251-м - заборы/стены. Подробная информация о зоне затронутых сооружений по типу и статусу собственности в разных районах представлена ниже в Таблице 3.3.</w:t>
      </w:r>
    </w:p>
    <w:p>
      <w:pPr>
        <w:spacing w:after="120"/>
        <w:jc w:val="both"/>
      </w:pPr>
      <w:r>
        <w:rPr>
          <w:rFonts w:ascii="Arial" w:cs="Arial" w:eastAsia="Arial" w:hAnsi="Arial"/>
          <w:b/>
          <w:bCs/>
          <w:sz w:val="24"/>
          <w:szCs w:val="24"/>
        </w:rPr>
        <w:t xml:space="preserve">Таблица 3.3: Воздействие на жилые постройки и строения другого типа, а также статус их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9"/>
        <w:gridCol w:w="993"/>
        <w:gridCol w:w="761"/>
        <w:gridCol w:w="953"/>
        <w:gridCol w:w="769"/>
        <w:gridCol w:w="769"/>
        <w:gridCol w:w="769"/>
        <w:gridCol w:w="769"/>
        <w:gridCol w:w="769"/>
        <w:gridCol w:w="769"/>
        <w:gridCol w:w="769"/>
        <w:gridCol w:w="769"/>
      </w:tblGrid>
      <w:tr>
        <w:tc>
          <w:tcPr>
            <w:tcW w:type="dxa" w:w="13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в разрезе районов</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 объектов недвижи-
 мости</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 соору-
 жений</w:t>
            </w:r>
          </w:p>
        </w:tc>
        <w:tc>
          <w:tcPr>
            <w:tcW w:type="dxa" w:w="9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(м2)</w:t>
            </w:r>
          </w:p>
        </w:tc>
        <w:tc>
          <w:tcPr>
            <w:tcW w:type="dxa" w:w="615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статус и количество домохозяйств и сооружений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Частная собственность</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Нелегитимные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Госуд./муниц. собственность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недви-
 жимости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Ноокен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Айван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Будка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Веранда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Времянка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Вулканизация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Гараж</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Закрытый 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Замощение, бетон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Кафе</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Кладовая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Контейнер (торговая точка)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52,17</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Крыльцо кафе "Токтомурат" с навесом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Лестницы (2 шт.)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Летняя кухня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3019,1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2999,1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Очаги</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 м3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 (юрта, металл)</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Тандыр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Терраса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Базар-Коргон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Балконы</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Будка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502,27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Замощение, бетон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Кафе</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Кухня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 м3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Тандыр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В</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Сузак</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итого:</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13673,5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*Количество ДХ без дублирования. Источник: НАОИ на основе данных ДЗИ.</w:t>
      </w:r>
    </w:p>
    <w:p>
      <w:pPr>
        <w:spacing w:after="120"/>
        <w:jc w:val="both"/>
      </w:pPr>
      <w:r>
        <w:rPr>
          <w:rFonts w:ascii="Arial" w:cs="Arial" w:eastAsia="Arial" w:hAnsi="Arial"/>
          <w:b/>
          <w:bCs/>
          <w:sz w:val="24"/>
          <w:szCs w:val="24"/>
        </w:rPr>
        <w:t xml:space="preserve">3.5. Воздействие на деревья</w:t>
      </w:r>
    </w:p>
    <w:p>
      <w:pPr>
        <w:spacing w:after="120"/>
        <w:jc w:val="both"/>
      </w:pPr>
      <w:r>
        <w:rPr>
          <w:rFonts w:ascii="Arial" w:cs="Arial" w:eastAsia="Arial" w:hAnsi="Arial"/>
          <w:sz w:val="24"/>
          <w:szCs w:val="24"/>
        </w:rPr>
        <w:t xml:space="preserve">36. Согласно имеющимся данным, около 1451 различных типа деревьев подлежат вырубке из-за деятельности в рамках проекта. Эти деревья принадлежат 116 ДХ всех трех районов. Из общего числа затронутых деревьев наибольшее количество (845) приходятся на Сузакский район, затем идет Ноокенский район - 557 дерева, на Базар-Коргонский район приходится только 49 деревьев. Из общего числа затрагиваемых проектом деревьев 586 являются плодоносящими. В разрезе районов наибольшее число таких деревьев приходится на Ноокенский район - 331, 199 - на Сузакский, а остальные 35 - на Базар-Коргонский. Подробное воздействие на деревья по видам и районам представлено в таблице 3.5 ниже.</w:t>
      </w:r>
    </w:p>
    <w:p>
      <w:pPr>
        <w:spacing w:after="120"/>
        <w:jc w:val="both"/>
      </w:pPr>
      <w:r>
        <w:rPr>
          <w:rFonts w:ascii="Arial" w:cs="Arial" w:eastAsia="Arial" w:hAnsi="Arial"/>
          <w:sz w:val="24"/>
          <w:szCs w:val="24"/>
        </w:rPr>
        <w:t xml:space="preserve">Таблица 3.5: Воздействие, оказываемое на деревья, произрастающие на затронутых землях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7"/>
        <w:gridCol w:w="976"/>
        <w:gridCol w:w="976"/>
        <w:gridCol w:w="1057"/>
        <w:gridCol w:w="1057"/>
        <w:gridCol w:w="976"/>
        <w:gridCol w:w="976"/>
        <w:gridCol w:w="1011"/>
        <w:gridCol w:w="1011"/>
      </w:tblGrid>
      <w:tr>
        <w:tc>
          <w:tcPr>
            <w:tcW w:type="dxa" w:w="21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деревьев</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2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20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Плодоносящие</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Неплодоносящие</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Декоративные деревья</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Сеянцы</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Розы</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деревьев</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r>
    </w:tbl>
    <w:p>
      <w:pPr>
        <w:spacing w:after="120"/>
        <w:jc w:val="both"/>
      </w:pPr>
      <w:r>
        <w:rPr>
          <w:rFonts w:ascii="Arial" w:cs="Arial" w:eastAsia="Arial" w:hAnsi="Arial"/>
          <w:b/>
          <w:bCs/>
          <w:sz w:val="24"/>
          <w:szCs w:val="24"/>
        </w:rPr>
        <w:t xml:space="preserve">3.6. Воздействие на бизнес и занятость</w:t>
      </w:r>
    </w:p>
    <w:p>
      <w:pPr>
        <w:spacing w:after="120"/>
        <w:jc w:val="both"/>
      </w:pPr>
      <w:r>
        <w:rPr>
          <w:rFonts w:ascii="Arial" w:cs="Arial" w:eastAsia="Arial" w:hAnsi="Arial"/>
          <w:sz w:val="24"/>
          <w:szCs w:val="24"/>
        </w:rPr>
        <w:t xml:space="preserve">37. Около 34-х постоянных хозяйствующих субъектов принадлежат 31 ДХ - владельцам разных типов, подверженных воздействию проекта. Наибольшее количество затрагиваемых торговых предприятий было обнаружено в сфере торговли продуктами питания и хлебопекарного производства. Среди общего числа затронутых предприятий наибольшее число затрагиваемых хозяйствующих субъектов приходится на Ноокенский район, 5 - на Базаркоргонский и только 1 - на Сузакский. Подробная информация о затронутых проектом хозяйствующих субъектах в разрезе их видов и районов расположения представлена в нижеследующей таблице.</w:t>
      </w:r>
    </w:p>
    <w:p>
      <w:pPr>
        <w:spacing w:after="120"/>
        <w:jc w:val="both"/>
      </w:pPr>
      <w:r>
        <w:rPr>
          <w:rFonts w:ascii="Arial" w:cs="Arial" w:eastAsia="Arial" w:hAnsi="Arial"/>
          <w:sz w:val="24"/>
          <w:szCs w:val="24"/>
        </w:rPr>
        <w:t xml:space="preserve">Та</w:t>
      </w:r>
      <w:r>
        <w:rPr>
          <w:rFonts w:ascii="Arial" w:cs="Arial" w:eastAsia="Arial" w:hAnsi="Arial"/>
          <w:b/>
          <w:bCs/>
          <w:sz w:val="24"/>
          <w:szCs w:val="24"/>
        </w:rPr>
        <w:t xml:space="preserve">блица 3.6: Воздействие на бизнес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513"/>
        <w:gridCol w:w="1489"/>
        <w:gridCol w:w="1489"/>
        <w:gridCol w:w="1489"/>
        <w:gridCol w:w="776"/>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Затрагиваемые проектом виды коммерческой деятельности</w:t>
            </w:r>
          </w:p>
        </w:tc>
        <w:tc>
          <w:tcPr>
            <w:tcW w:type="dxa" w:w="446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Непродовольственная торговля</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торговля и хлебопекарное производство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Недвижимое имущество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Швейные цеха</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туалетов</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и ветеринарные аптеки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автозапчастей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безалкогольными напитками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и буфет</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торговли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ДХ указано без дублирования.</w:t>
      </w:r>
    </w:p>
    <w:p>
      <w:pPr>
        <w:spacing w:after="120"/>
        <w:jc w:val="both"/>
      </w:pPr>
      <w:r>
        <w:rPr>
          <w:rFonts w:ascii="Arial" w:cs="Arial" w:eastAsia="Arial" w:hAnsi="Arial"/>
          <w:b/>
          <w:bCs/>
          <w:sz w:val="24"/>
          <w:szCs w:val="24"/>
        </w:rPr>
        <w:t xml:space="preserve">3.7. Домохозяйства, подверженные сильному воздействию</w:t>
      </w:r>
    </w:p>
    <w:p>
      <w:pPr>
        <w:spacing w:after="120"/>
        <w:jc w:val="both"/>
      </w:pPr>
      <w:r>
        <w:rPr>
          <w:rFonts w:ascii="Arial" w:cs="Arial" w:eastAsia="Arial" w:hAnsi="Arial"/>
          <w:sz w:val="24"/>
          <w:szCs w:val="24"/>
        </w:rPr>
        <w:t xml:space="preserve">38. Домохозяйства, подверженные сильному воздействию, были определены НАОИ и местной районной администрацией, учитывая серьезность воздействий для более 10% общей площади земель под жилую застройку, сельскохозяйственных и коммерческих земель ввиду реализации проекта. При этом исследование показало, что в общей сложности 109 домохозяйств подвержены различным категориям воздействия, учитывая тип воздействия. Из общего числа домохозяйств, подверженных сильному воздействию, чуть более половины составляют домохозяйства, в которых сильному воздействию подвергается земля под жилую застройку, а затем следуют домохозяйства с серьезно затронутыми коммерческими землями. Подробная информация о ДХ, подверженных сильному воздействию, в разрезе типов воздействия в затрагиваемых проектом районах представлена в Таблице 3.7 ниже.</w:t>
      </w:r>
    </w:p>
    <w:p>
      <w:pPr>
        <w:spacing w:after="120"/>
        <w:jc w:val="both"/>
      </w:pPr>
      <w:r>
        <w:rPr>
          <w:rFonts w:ascii="Arial" w:cs="Arial" w:eastAsia="Arial" w:hAnsi="Arial"/>
          <w:b/>
          <w:bCs/>
          <w:sz w:val="24"/>
          <w:szCs w:val="24"/>
        </w:rPr>
        <w:t xml:space="preserve">Таблица 3.7: Домохозяйства, подверженные сильному воздействию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1641"/>
        <w:gridCol w:w="1641"/>
        <w:gridCol w:w="1641"/>
        <w:gridCol w:w="1641"/>
      </w:tblGrid>
      <w:tr>
        <w:tc>
          <w:tcPr>
            <w:tcW w:type="dxa" w:w="36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Серьезность воздействия по типам</w:t>
            </w:r>
          </w:p>
        </w:tc>
        <w:tc>
          <w:tcPr>
            <w:tcW w:type="dxa" w:w="492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16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w:t>
            </w:r>
          </w:p>
        </w:tc>
        <w:tc>
          <w:tcPr>
            <w:vMerge w:val="continue"/>
            <w:tcBorders>
              <w:top w:val="single" w:color="CBBF9E" w:sz="4"/>
              <w:left w:val="none" w:color="auto" w:sz="0"/>
              <w:bottom w:val="single" w:color="CBBF9E" w:sz="4"/>
              <w:right w:val="single" w:color="CBBF9E" w:sz="4"/>
            </w:tcBorders>
          </w:tcP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Сельскохозяйственная земля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участки</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Коммерческая земля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3.8. Воздействие на уязвимые ЗЛ</w:t>
      </w:r>
    </w:p>
    <w:p>
      <w:pPr>
        <w:spacing w:after="120"/>
        <w:jc w:val="both"/>
      </w:pPr>
      <w:r>
        <w:rPr>
          <w:rFonts w:ascii="Arial" w:cs="Arial" w:eastAsia="Arial" w:hAnsi="Arial"/>
          <w:sz w:val="24"/>
          <w:szCs w:val="24"/>
        </w:rPr>
        <w:t xml:space="preserve">39. Выявление уязвимых домохозяйств проводилось оценщиками и местными властями с учетом домохозяйств, доход которых ниже национальной черты бедности, домохозяйств, возглавляемых женщинами, пожилыми людьми, лицами с ограниченными возможностями здоровья или получающих социальные пособия. Согласно информации из оценочного отчета, среди 266 затронутых проектом ДХ 78 определены в качестве уязвимых ДХ в различных районах, затронутых проектом. Из общего числа уязвимых домохозяйств 60 были выявлены в Ноокенском районе, за ними следуют 10 в Базаркоргонском районе и 8 домохозяйств в Сузакском районе. Более подробная информация об уязвимых домохозяйствах в разрезе населенных пунктов представлена в Таблице 3.8 ниже.</w:t>
      </w:r>
    </w:p>
    <w:p>
      <w:pPr>
        <w:spacing w:after="120"/>
        <w:jc w:val="both"/>
      </w:pPr>
      <w:r>
        <w:rPr>
          <w:rFonts w:ascii="Arial" w:cs="Arial" w:eastAsia="Arial" w:hAnsi="Arial"/>
          <w:b/>
          <w:bCs/>
          <w:sz w:val="24"/>
          <w:szCs w:val="24"/>
        </w:rPr>
        <w:t xml:space="preserve">Таблица 3.8: Количество уязвимых ДХ в разрезе населенных пунктов, расположенных в затрагиваемых проектом районах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2"/>
        <w:gridCol w:w="861"/>
        <w:gridCol w:w="2532"/>
        <w:gridCol w:w="861"/>
        <w:gridCol w:w="2532"/>
        <w:gridCol w:w="861"/>
      </w:tblGrid>
      <w:tr>
        <w:tc>
          <w:tcPr>
            <w:tcW w:type="dxa" w:w="25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c>
          <w:tcPr>
            <w:tcW w:type="dxa" w:w="25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c>
          <w:tcPr>
            <w:tcW w:type="dxa" w:w="25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с.Акман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с.Сузак</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с.Момбеково</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с.Бешик-Жон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с.Атабеков</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с.Ноокен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Базар-Коргон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Кумуш Азиз</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с.Масы</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с.Кенеш</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с.Барпы</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с.Шайдан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c>
          <w:tcPr>
            <w:tcW w:type="dxa" w:w="7647"/>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w:t>
            </w:r>
          </w:p>
        </w:tc>
      </w:tr>
    </w:tbl>
    <w:p>
      <w:pPr>
        <w:spacing w:after="120"/>
        <w:jc w:val="center"/>
      </w:pPr>
      <w:r>
        <w:rPr>
          <w:rFonts w:ascii="Arial" w:cs="Arial" w:eastAsia="Arial" w:hAnsi="Arial"/>
          <w:b/>
          <w:bCs/>
          <w:sz w:val="24"/>
          <w:szCs w:val="24"/>
        </w:rPr>
        <w:t xml:space="preserve">ГЛАВА 4. СОЦИАЛЬНО-ЭКОНОМИЧЕСКИЙ ПРОФИЛЬ ЗАТРАГИВАЕМЫХ ПРОЕКТОМ ЛЮДЕЙ</w:t>
      </w:r>
    </w:p>
    <w:p>
      <w:pPr>
        <w:spacing w:after="240" w:before="200"/>
        <w:jc w:val="center"/>
      </w:pPr>
      <w:r>
        <w:rPr>
          <w:rFonts w:ascii="Arial" w:cs="Arial" w:eastAsia="Arial" w:hAnsi="Arial"/>
          <w:b/>
          <w:bCs/>
          <w:sz w:val="32"/>
          <w:szCs w:val="32"/>
        </w:rPr>
        <w:t xml:space="preserve">4.1. Введение</w:t>
      </w:r>
    </w:p>
    <w:p>
      <w:pPr>
        <w:spacing w:after="120"/>
        <w:jc w:val="both"/>
      </w:pPr>
      <w:r>
        <w:rPr>
          <w:rFonts w:ascii="Arial" w:cs="Arial" w:eastAsia="Arial" w:hAnsi="Arial"/>
          <w:sz w:val="24"/>
          <w:szCs w:val="24"/>
        </w:rPr>
        <w:t xml:space="preserve">40. В данной главе представлены выводы об основных социально-экономических характеристиках населения проектной территории в целом. Информация подготовлена на основе статистических данных страны, полученных из различных отчетов и веб-сайтов, имеющих отношение к проекту, а также обновленных данных, полученных/собранных у государственных районных администраций затрагиваемых районов. Однако ввиду дефицита времени и бюджета детальное социально-экономическое исследование в отношении затронутых проектом людей провести не представилось возможным. В результате, кроме данных из вышеупомянутых источников, для оценки социально-экономического статуса ЗЛ использовались также данные технико-экономического обоснования настоящего проекта ввиду отсутствия достаточного количества обновленной социально-экономической информации о затрагиваемых проектом людях. Тем не менее, в настоящей главе отчета сделана попытка сосредоточиться на демографических, социально-экономических аспектах и условиях жизни людей, подверженных воздействию проекта.</w:t>
      </w:r>
    </w:p>
    <w:p>
      <w:pPr>
        <w:spacing w:after="240" w:before="200"/>
        <w:jc w:val="center"/>
      </w:pPr>
      <w:r>
        <w:rPr>
          <w:rFonts w:ascii="Arial" w:cs="Arial" w:eastAsia="Arial" w:hAnsi="Arial"/>
          <w:b/>
          <w:bCs/>
          <w:sz w:val="32"/>
          <w:szCs w:val="32"/>
        </w:rPr>
        <w:t xml:space="preserve">4.2. Характеристика страны</w:t>
      </w:r>
    </w:p>
    <w:p>
      <w:pPr>
        <w:spacing w:after="120"/>
        <w:jc w:val="both"/>
      </w:pPr>
      <w:r>
        <w:rPr>
          <w:rFonts w:ascii="Arial" w:cs="Arial" w:eastAsia="Arial" w:hAnsi="Arial"/>
          <w:sz w:val="24"/>
          <w:szCs w:val="24"/>
        </w:rPr>
        <w:t xml:space="preserve">41. Кыргызская Республика, являясь одной из 10 стран ЦАРЭС, состоит из семи областей и одного крупного города (г.Бишкек). Кыргызская Республика все еще является недостаточно развитой страной с высоким уровнем распространения бедности:</w:t>
      </w:r>
    </w:p>
    <w:p>
      <w:pPr>
        <w:spacing w:after="120"/>
        <w:jc w:val="both"/>
      </w:pPr>
      <w:r>
        <w:rPr>
          <w:rFonts w:ascii="Arial" w:cs="Arial" w:eastAsia="Arial" w:hAnsi="Arial"/>
          <w:sz w:val="24"/>
          <w:szCs w:val="24"/>
        </w:rPr>
        <w:t xml:space="preserve">- общая численность населения страны составляет 6434493 человека, включая 3173831 мужчин (49,3%) и 3260662 (50,7%) женщин;</w:t>
      </w:r>
    </w:p>
    <w:p>
      <w:pPr>
        <w:spacing w:after="120"/>
        <w:jc w:val="both"/>
      </w:pPr>
      <w:r>
        <w:rPr>
          <w:rFonts w:ascii="Arial" w:cs="Arial" w:eastAsia="Arial" w:hAnsi="Arial"/>
          <w:sz w:val="24"/>
          <w:szCs w:val="24"/>
        </w:rPr>
        <w:t xml:space="preserve">- среди 189-ти стран Кыргызстан занимал 122-е место по индексу развития человеческого потенциала по состоянию на 2018 год(2);</w:t>
      </w:r>
    </w:p>
    <w:p>
      <w:pPr>
        <w:spacing w:after="120"/>
        <w:jc w:val="both"/>
      </w:pPr>
      <w:r>
        <w:rPr>
          <w:rFonts w:ascii="Arial" w:cs="Arial" w:eastAsia="Arial" w:hAnsi="Arial"/>
          <w:sz w:val="24"/>
          <w:szCs w:val="24"/>
        </w:rPr>
        <w:t xml:space="preserve">- валовой национальный доход на душу населения в последний раз был зафиксирован на уровне 1087,20 долларов США в 2018 году, оказавшись среди 10 самых низких показателей среди 45 развивающихся стран-членов АБР;</w:t>
      </w:r>
    </w:p>
    <w:p>
      <w:pPr>
        <w:spacing w:after="120"/>
        <w:jc w:val="both"/>
      </w:pPr>
      <w:r>
        <w:rPr>
          <w:rFonts w:ascii="Arial" w:cs="Arial" w:eastAsia="Arial" w:hAnsi="Arial"/>
          <w:sz w:val="24"/>
          <w:szCs w:val="24"/>
        </w:rPr>
        <w:t xml:space="preserve">- население, живущее за чертой бедности, составляло 22,4% в 2018 году(3).</w:t>
      </w:r>
    </w:p>
    <w:p>
      <w:pPr>
        <w:spacing w:after="120"/>
        <w:jc w:val="both"/>
      </w:pPr>
      <w:r>
        <w:rPr>
          <w:rFonts w:ascii="Arial" w:cs="Arial" w:eastAsia="Arial" w:hAnsi="Arial"/>
          <w:sz w:val="24"/>
          <w:szCs w:val="24"/>
        </w:rPr>
        <w:t xml:space="preserve">42. Кыргызская Республика является многонациональной страной, включающей около 13 основных этнических групп с рядом других небольших этнических групп. Тем не менее, из общего числа населения около трех четвертых (71,8%) составляют кыргызы, 24,8% - узбеки, и только оставшиеся 3,8% составляют другие этнические группы.</w:t>
      </w:r>
    </w:p>
    <w:p>
      <w:pPr>
        <w:spacing w:after="120"/>
        <w:jc w:val="both"/>
      </w:pPr>
      <w:r>
        <w:rPr>
          <w:rFonts w:ascii="Arial" w:cs="Arial" w:eastAsia="Arial" w:hAnsi="Arial"/>
          <w:sz w:val="24"/>
          <w:szCs w:val="24"/>
        </w:rPr>
        <w:t xml:space="preserve">43. Плохие условия транспортировки являются одним из ключевых факторов, вызвавших повсеместную бедность. Вследствие этого, восстановление стратегических автомобильных коридоров входит в число приоритетных задач правительства, учитывая их важность в обеспечении доступа к международным рынкам и основным общественным услугам. Существует шесть транспортных коридоров ЦАРЭС, которые создают действительно глобальное будущее для региона. Три из шести коридоров пересекают Кыргызскую Республику, и предлагаемый проект ориентирован на развитие связи между коридорами 1 и 3.</w:t>
      </w:r>
    </w:p>
    <w:p>
      <w:pPr>
        <w:spacing w:after="120"/>
        <w:jc w:val="both"/>
      </w:pPr>
      <w:r>
        <w:rPr>
          <w:rFonts w:ascii="Arial" w:cs="Arial" w:eastAsia="Arial" w:hAnsi="Arial"/>
          <w:b/>
          <w:bCs/>
          <w:sz w:val="24"/>
          <w:szCs w:val="24"/>
        </w:rPr>
        <w:t xml:space="preserve">4.3. Общая характеристика Области реализации проекта</w:t>
      </w:r>
    </w:p>
    <w:p>
      <w:pPr>
        <w:spacing w:after="120"/>
        <w:jc w:val="both"/>
      </w:pPr>
      <w:r>
        <w:rPr>
          <w:rFonts w:ascii="Arial" w:cs="Arial" w:eastAsia="Arial" w:hAnsi="Arial"/>
          <w:sz w:val="24"/>
          <w:szCs w:val="24"/>
        </w:rPr>
        <w:t xml:space="preserve">44. Джалал-Абадская область является одной из 7 областей Кыргызской Республики. Город Джалал-Абад является также столицей этого региона. Область граничит (по часовой стрелке с севера) с Таласской областью, Чуйской областью, Нарынской областью, Ошской областью и Узбекистаном. Джалал-Абадская область состоит из 8 районов и включает 7 городов, 8 поселков городского типа и 420 сел. Общая численность населения этого региона составляет около 1115994 человек. Данная область расположена на юге Кыргызстана и значительно отстает от северной части в социальном и экономическом развитии. Джалал-Абадская область занимает 33647 квадратных километра (12991 кв. миль) (16,9% от общей площади страны) центрально-западной части Кыргызстана. Южная граница области является частью Ферганской долины. Остальная часть области представляет собой гористую местность. Автодорога М41, представляя собой главную магистраль север-юг (от г.Бишкек до г.Ош), проходит по очень извилистому маршруту к центру региона.</w:t>
      </w:r>
    </w:p>
    <w:p>
      <w:pPr>
        <w:spacing w:after="120"/>
        <w:jc w:val="both"/>
      </w:pPr>
      <w:r>
        <w:rPr>
          <w:rFonts w:ascii="Arial" w:cs="Arial" w:eastAsia="Arial" w:hAnsi="Arial"/>
          <w:sz w:val="24"/>
          <w:szCs w:val="24"/>
        </w:rPr>
        <w:t xml:space="preserve">45. Здесь сосредоточены крупнейшие гидроэлектростанции, почти весь объем добычи нефти и природного газа, а также нефтеперерабатывающие заводы. Высокие транспортные расходы, связанные с недостаточно развитой инфраструктурой автомобильных дорог, обусловливают низкую стоимость сельскохозяйственной продукции в этом регионе. Дорога Бишкек-Ош является прямым доступом к основным рынкам, расположенным на севере, поэтому реконструкция дороги имеет жизненно важное значение для развития сельского хозяйства и отраслей, связанных с сельским хозяйством, а также сокращения уровня бедности. Большая часть местного населения страдает от отсутствия водопровода. Строительство и реконструкция систем водоснабжения является одним из условий социально-экономического развития района.</w:t>
      </w:r>
    </w:p>
    <w:p>
      <w:pPr>
        <w:spacing w:after="120"/>
        <w:jc w:val="both"/>
      </w:pPr>
      <w:r>
        <w:rPr>
          <w:rFonts w:ascii="Arial" w:cs="Arial" w:eastAsia="Arial" w:hAnsi="Arial"/>
          <w:sz w:val="24"/>
          <w:szCs w:val="24"/>
        </w:rPr>
        <w:t xml:space="preserve">46. В регионе выращивают пшеницу, фрукты, овощи, кукурузу, орехи, табак и коконы шелкопряда. В регионе также действует несколько текстильных заводов и гидроэлектростанций. Здесь обнаружены полезные ископаемые, природный газ, уголь, металлы и нефть, особенно в окрестностях города Кочкор-Ата, где действует небольшая нефтяная промышленность. Основными видами деятельности жителей Джалал-Абадской области являются скотоводство (разведение овец и коз), производство овощей, орехов и т.д., а также торговля.</w:t>
      </w:r>
    </w:p>
    <w:p>
      <w:pPr>
        <w:spacing w:after="120"/>
        <w:jc w:val="both"/>
      </w:pPr>
      <w:r>
        <w:rPr>
          <w:rFonts w:ascii="Arial" w:cs="Arial" w:eastAsia="Arial" w:hAnsi="Arial"/>
          <w:b/>
          <w:bCs/>
          <w:sz w:val="24"/>
          <w:szCs w:val="24"/>
        </w:rPr>
        <w:t xml:space="preserve">4.4. Демографический и социально-экономический профиль районов, затрагиваемых проектом</w:t>
      </w:r>
    </w:p>
    <w:p>
      <w:pPr>
        <w:spacing w:after="120"/>
        <w:jc w:val="both"/>
      </w:pPr>
      <w:r>
        <w:rPr>
          <w:rFonts w:ascii="Arial" w:cs="Arial" w:eastAsia="Arial" w:hAnsi="Arial"/>
          <w:sz w:val="24"/>
          <w:szCs w:val="24"/>
        </w:rPr>
        <w:t xml:space="preserve">47. Строительство дороги Маданият - Джалал-Абад пересекает территорию трех районов, а именно: Ноокенского, Базар-Коргонского и Сузакского, затрагивая определенное количество людей. В следующих подразделах содержится информация о демографии, социально-экономических условиях и качестве жизни людей, проживающих на территории проекта, основываясь на данных/информации, полученных от местного органа власти.</w:t>
      </w:r>
    </w:p>
    <w:p>
      <w:pPr>
        <w:spacing w:after="120"/>
        <w:jc w:val="both"/>
      </w:pPr>
      <w:r>
        <w:rPr>
          <w:rFonts w:ascii="Arial" w:cs="Arial" w:eastAsia="Arial" w:hAnsi="Arial"/>
          <w:b/>
          <w:bCs/>
          <w:sz w:val="24"/>
          <w:szCs w:val="24"/>
        </w:rPr>
        <w:t xml:space="preserve">4.4.1. Общая численность населения в разрезе полов, этнической принадлежности и религии</w:t>
      </w:r>
    </w:p>
    <w:p>
      <w:pPr>
        <w:spacing w:after="120"/>
        <w:jc w:val="both"/>
      </w:pPr>
      <w:r>
        <w:rPr>
          <w:rFonts w:ascii="Arial" w:cs="Arial" w:eastAsia="Arial" w:hAnsi="Arial"/>
          <w:sz w:val="24"/>
          <w:szCs w:val="24"/>
        </w:rPr>
        <w:t xml:space="preserve">48. Общая численность населения всех трех затрагиваемых районов составляет 620896 человек, причем мужское население составляет 313861 (50,4%), а женское - 307035 (49,6%) человек. Наибольшее количество населения приходится на Сузакский район, составляя 294965 человек, за ним следует Базар-Коргонский район - 186181 человек, причем самая низкая численность населения отмечается в Ноокенском районе, составляя 139771 человек. Средний размер семьи затрагиваемых районов составляет 5,3 человека на семью с самым высоким показателем - 5,5 человек на семью - отмеченным в Ноокенском районе. Большинство населения затрагиваемых районов представлено кыргызами и узбеками, составляя 62,5% и 35,1% соответственно. Другие этнические группы, такие как уйгуры, русские и т.д., составляют всего 2,4% от общей численности населения. Что касается религии затрагиваемого населения, то почти все население - мусульмане, составляющие около 99% от общего числа, и только 1% населения составляют христиане и атеисты. Что касается демографических данных затрагиваемого населения по группам с большими возрастными интервалами, то из общей численности населения лица моложе 10 лет составляют около 27,9%, а лица в возрасте 10-60 лет составляют 65,6% от общей численности населения. Подробную информацию о демографических данных по районам можно найти в Таблицах А-1 и А-2 в Приложении 1 настоящего отчета.</w:t>
      </w:r>
    </w:p>
    <w:p>
      <w:pPr>
        <w:spacing w:after="120"/>
        <w:jc w:val="both"/>
      </w:pPr>
      <w:r>
        <w:rPr>
          <w:rFonts w:ascii="Arial" w:cs="Arial" w:eastAsia="Arial" w:hAnsi="Arial"/>
          <w:b/>
          <w:bCs/>
          <w:sz w:val="24"/>
          <w:szCs w:val="24"/>
        </w:rPr>
        <w:t xml:space="preserve">4.4.2. Образовательные и социокультурные заведения</w:t>
      </w:r>
    </w:p>
    <w:p>
      <w:pPr>
        <w:spacing w:after="120"/>
        <w:jc w:val="both"/>
      </w:pPr>
      <w:r>
        <w:rPr>
          <w:rFonts w:ascii="Arial" w:cs="Arial" w:eastAsia="Arial" w:hAnsi="Arial"/>
          <w:sz w:val="24"/>
          <w:szCs w:val="24"/>
        </w:rPr>
        <w:t xml:space="preserve">49. На территории проекта в общей сложности действует около 423 (без дополнительного уточнения) различных типов учебных заведений, охватывая три затрагиваемых проектом района. Из общего числа учебных заведений 145 представлены детскими садами, 12 - начальными школами, 175 - объединенными начальными и средними школами, 99 - только средними школами, а также в районах действует 2 колледжа и 68 библиотек. В исследовании также были перечислены медицинские и другие общественные учреждения/институты, действующие в районах реализации проекта. В исследовании отмечено около 180 больниц/медицинских центров, 11 рынков и базаров, а также 15 домов культуры. Учитывая все вышесказанное, территория проекта характеризуется достаточным количеством образовательных и других социальных учреждений. Подробное описание различных институтов и учреждений представлено в Таблице А-3 Приложения 1 настоящего отчета.</w:t>
      </w:r>
    </w:p>
    <w:p>
      <w:pPr>
        <w:spacing w:after="120"/>
        <w:jc w:val="both"/>
      </w:pPr>
      <w:r>
        <w:rPr>
          <w:rFonts w:ascii="Arial" w:cs="Arial" w:eastAsia="Arial" w:hAnsi="Arial"/>
          <w:b/>
          <w:bCs/>
          <w:sz w:val="24"/>
          <w:szCs w:val="24"/>
        </w:rPr>
        <w:t xml:space="preserve">4.4.3. Жилищно-бытовые условия людей</w:t>
      </w:r>
    </w:p>
    <w:p>
      <w:pPr>
        <w:spacing w:after="120"/>
        <w:jc w:val="both"/>
      </w:pPr>
      <w:r>
        <w:rPr>
          <w:rFonts w:ascii="Arial" w:cs="Arial" w:eastAsia="Arial" w:hAnsi="Arial"/>
          <w:sz w:val="24"/>
          <w:szCs w:val="24"/>
        </w:rPr>
        <w:t xml:space="preserve">50. Жилищно-бытовые условия людей оценивались с учетом основных требований к жилым помещениям для удовлетворения их повседневных потребностей, по крайней мере, для поддержания минимального уровня жизни. В связи с этим была проведена оценка жилых домов и типов строительства, в том числе наличие источников питьевой воды, санитарных помещений по типам использования, доступности электричества и газа для приготовления пищи, освещения, отопления и т.д.</w:t>
      </w:r>
    </w:p>
    <w:p>
      <w:pPr>
        <w:spacing w:after="120"/>
        <w:jc w:val="both"/>
      </w:pPr>
      <w:r>
        <w:rPr>
          <w:rFonts w:ascii="Arial" w:cs="Arial" w:eastAsia="Arial" w:hAnsi="Arial"/>
          <w:sz w:val="24"/>
          <w:szCs w:val="24"/>
        </w:rPr>
        <w:t xml:space="preserve">51. Согласно имеющимся данным/информации, конструкции жилых домов примерно в 2/3 домохозяйств из общего числа домохозяйств всех трех затрагиваемых районов представляют собой дома, построенные из самана/глины/кирпича, а остальные строятся из кирпича/черепицы и других видов строительных материалов. Количество комнат в жилых домах - различное, варьируясь от одной до трех или более комнат, но большинство семей живут в двухкомнатных жилых домах. В то же время значительное количество домохозяйств имеют три и более комнат.</w:t>
      </w:r>
    </w:p>
    <w:p>
      <w:pPr>
        <w:spacing w:after="120"/>
        <w:jc w:val="both"/>
      </w:pPr>
      <w:r>
        <w:rPr>
          <w:rFonts w:ascii="Arial" w:cs="Arial" w:eastAsia="Arial" w:hAnsi="Arial"/>
          <w:sz w:val="24"/>
          <w:szCs w:val="24"/>
        </w:rPr>
        <w:t xml:space="preserve">52. Среди различных источников питьевой воды почти всеми домашними хозяйствами обычно используются водопроводная вода и собственные глубокие трубчатые колодцы. Кроме того, некоторые домохозяйства также используют водопроводные колонки общего пользования для получения питьевой воды. Что касается санитарных помещений, имеющиеся данные показывают, что люди чаще всего используют уличные туалеты с выгребной ямой: 99,5% - в Ноокенском районе и 97% - в Базаркоргонском. К тому же, в незначительном числе домохозяйств обнаружено использование унитазов. Что касается доступа к электричеству и дровам для приготовления пищи, освещения/обогрева, данные показывают, что почти во всех ДХ имеется электричество, которое они и используют для вышеуказанной цели. Однако около 10% домохозяйств используют дрова для отопления и приготовления пищи, кроме того, некоторые домохозяйства для этих целей также используют газ. Подробную информацию о жилищно-бытовых условиях людей в разрезе районов можно найти в Таблицах А-4 - А-7 Приложения 1.</w:t>
      </w:r>
    </w:p>
    <w:p>
      <w:pPr>
        <w:spacing w:after="120"/>
        <w:jc w:val="both"/>
      </w:pPr>
      <w:r>
        <w:rPr>
          <w:rFonts w:ascii="Arial" w:cs="Arial" w:eastAsia="Arial" w:hAnsi="Arial"/>
          <w:b/>
          <w:bCs/>
          <w:sz w:val="24"/>
          <w:szCs w:val="24"/>
        </w:rPr>
        <w:t xml:space="preserve">4.4.4. Экономическое положение населения</w:t>
      </w:r>
    </w:p>
    <w:p>
      <w:pPr>
        <w:spacing w:after="120"/>
        <w:jc w:val="both"/>
      </w:pPr>
      <w:r>
        <w:rPr>
          <w:rFonts w:ascii="Arial" w:cs="Arial" w:eastAsia="Arial" w:hAnsi="Arial"/>
          <w:sz w:val="24"/>
          <w:szCs w:val="24"/>
        </w:rPr>
        <w:t xml:space="preserve">53. Согласно имеющимся данным, сельское хозяйство и фермерство являются преобладающим видом деятельности почти 80% домохозяйств проектной территории. Служба в государственном и частном секторах является вторым по счету видом деятельности, включающим около 5,9% глав ДХ. Кроме того, 4,2% населения заняты в транспортном секторе, 2,8% - в коммерческом, и такой же процент глав ДХ (2,8%) занят в качестве наемной рабочей силы. Основными кормильцами в семье, как правило, являются главы домохозяйств, но в значительном числе домохозяйств доход в семью также приносят женщины и остальные взрослые члены семьи. Тем не менее, согласно имеющимся данным, средний уровень доходов домохозяйств указывает на то, что большинство домохозяйств, а именно, около 55%, получают доход в диапазоне 5000-10000 сомов. Также обнаружено население (около 15,1% ДХ), уровень дохода которого ниже прожиточного минимума, то есть такие люди находятся за чертой бедности, получая менее 5000 сом. Кроме того, наблюдается незначительное количество домашних хозяйств (всего 5,1%), уровень дохода которых превышает 15000 сомов. Подробную информацию о структуре занятости и уровне доходов домохозяйств можно найти в Таблицах А-8 и А-9, Приложения 1 настоящего отчета.</w:t>
      </w:r>
    </w:p>
    <w:p>
      <w:pPr>
        <w:spacing w:after="120"/>
        <w:jc w:val="both"/>
      </w:pPr>
      <w:r>
        <w:rPr>
          <w:rFonts w:ascii="Arial" w:cs="Arial" w:eastAsia="Arial" w:hAnsi="Arial"/>
          <w:b/>
          <w:bCs/>
          <w:sz w:val="24"/>
          <w:szCs w:val="24"/>
        </w:rPr>
        <w:t xml:space="preserve">4.5. Социально-экономический профиль ЗЛ (данные ТЭО)</w:t>
      </w:r>
    </w:p>
    <w:p>
      <w:pPr>
        <w:spacing w:after="120"/>
        <w:jc w:val="both"/>
      </w:pPr>
      <w:r>
        <w:rPr>
          <w:rFonts w:ascii="Arial" w:cs="Arial" w:eastAsia="Arial" w:hAnsi="Arial"/>
          <w:sz w:val="24"/>
          <w:szCs w:val="24"/>
        </w:rPr>
        <w:t xml:space="preserve">54. В следующих подразделах ПИЗП представлены некоторые важные социально-экономические характеристики групп населения, подпадающего под воздействие проекта, составленные на основе технико-экономического обоснования проекта, но в реструктурированной форме. В настоящем ПИЗП используются данные технико-экономического обоснования ввиду невозможности проведения полного социально-экономического исследования на данном этапе из-за дефицита времени и бюджета. Однако соответствующее социально-экономическое исследование проводилось с мая по июнь 2013 года и охватило более 20% затрагиваемых проектом домохозяйств. Исследование было проведено в общей сложности в 110 пострадавших домохозяйствах населенных пунктов проекта, охватывая все три затронутых проектом района, а именно, Ноокенский, Базар-Коргонский и Сузакский. Исследованные населенные пункты включали села Массы и Кочкор-Ата Ноокенского района, Абрахимов и Базар-Коргон Базар-Коргонского района и Сасык-Булак Сузакского района.</w:t>
      </w:r>
    </w:p>
    <w:p>
      <w:pPr>
        <w:spacing w:after="120"/>
        <w:jc w:val="both"/>
      </w:pPr>
      <w:r>
        <w:rPr>
          <w:rFonts w:ascii="Arial" w:cs="Arial" w:eastAsia="Arial" w:hAnsi="Arial"/>
          <w:b/>
          <w:bCs/>
          <w:sz w:val="24"/>
          <w:szCs w:val="24"/>
        </w:rPr>
        <w:t xml:space="preserve">4.5.1. Демографический профиль</w:t>
      </w:r>
    </w:p>
    <w:p>
      <w:pPr>
        <w:spacing w:after="120"/>
        <w:jc w:val="both"/>
      </w:pPr>
      <w:r>
        <w:rPr>
          <w:rFonts w:ascii="Arial" w:cs="Arial" w:eastAsia="Arial" w:hAnsi="Arial"/>
          <w:sz w:val="24"/>
          <w:szCs w:val="24"/>
        </w:rPr>
        <w:t xml:space="preserve">55. Общая численность населения 110 домохозяйств составила 488 человек, включая 234 (48%) мужчин и 254 (52%) женщин. Численность женщин значительно выше численности мужчин. Средний размер семьи опрошенных домохозяйств составляет 4,4 человека на семью. Население в возрасте до 16 лет, независимо от пола, составляет 35,3% от общей численности населения, а 51,6% относится к возрастной группе 17-59 лет, которая рассматривается в качестве активной рабочей силы для экономики. Около 13,1% населения относится к возрастной группе старше 60 лет. Основные демографические данные исследованных домохозяйств и населения, подпадающих под действие проекта, представлены в таблице 4.1 ниже в разрезе затрагиваемых проектом районов.</w:t>
      </w:r>
    </w:p>
    <w:p>
      <w:pPr>
        <w:spacing w:after="120"/>
        <w:jc w:val="both"/>
      </w:pPr>
      <w:r>
        <w:rPr>
          <w:rFonts w:ascii="Arial" w:cs="Arial" w:eastAsia="Arial" w:hAnsi="Arial"/>
          <w:b/>
          <w:bCs/>
          <w:sz w:val="24"/>
          <w:szCs w:val="24"/>
        </w:rPr>
        <w:t xml:space="preserve">Таблица 4.1. Основные демографические показатели ДХ с распределением по половому признаку и районам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2836"/>
        <w:gridCol w:w="1792"/>
        <w:gridCol w:w="1877"/>
        <w:gridCol w:w="1596"/>
        <w:gridCol w:w="1556"/>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8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демографические показатели</w:t>
            </w:r>
          </w:p>
        </w:tc>
        <w:tc>
          <w:tcPr>
            <w:tcW w:type="dxa" w:w="17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1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5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Население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число ДХ</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мужского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(45,4%)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(52,6%)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(45,5%)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(48,0%)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женского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(54,6%)</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(47,4%)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(54,5%)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(52,0%)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(100)</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(100)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(100)</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
 (100)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семьи</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3"/>
        <w:gridCol w:w="1466"/>
        <w:gridCol w:w="1492"/>
        <w:gridCol w:w="1457"/>
      </w:tblGrid>
      <w:tr>
        <w:tc>
          <w:tcPr>
            <w:tcW w:type="dxa" w:w="5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Возрастной состав ЗЛ с распределением по половому признаку</w:t>
            </w:r>
          </w:p>
        </w:tc>
        <w:tc>
          <w:tcPr>
            <w:tcW w:type="dxa" w:w="1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16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(38,5%)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(32,2)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(35,3%)</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17-59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(50,4%)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(52,8%)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(51,6%)</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60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(11,1%)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(15,0%)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(13,1%)</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возрастным группам</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(100)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(100)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
 (100)</w:t>
            </w:r>
          </w:p>
        </w:tc>
      </w:tr>
    </w:tbl>
    <w:p>
      <w:pPr>
        <w:spacing w:after="120"/>
        <w:jc w:val="both"/>
      </w:pPr>
      <w:r>
        <w:rPr>
          <w:rFonts w:ascii="Arial" w:cs="Arial" w:eastAsia="Arial" w:hAnsi="Arial"/>
          <w:sz w:val="24"/>
          <w:szCs w:val="24"/>
        </w:rPr>
        <w:t xml:space="preserve">Цифры в скобках указывают проценты.</w:t>
      </w:r>
    </w:p>
    <w:p>
      <w:pPr>
        <w:spacing w:after="120"/>
        <w:jc w:val="both"/>
      </w:pPr>
      <w:r>
        <w:rPr>
          <w:rFonts w:ascii="Arial" w:cs="Arial" w:eastAsia="Arial" w:hAnsi="Arial"/>
          <w:sz w:val="24"/>
          <w:szCs w:val="24"/>
        </w:rPr>
        <w:t xml:space="preserve">4.5.2. Уровень грамотности затрагиваемых проектом людей с распределением по половому признаку и районам</w:t>
      </w:r>
    </w:p>
    <w:p>
      <w:pPr>
        <w:spacing w:after="120"/>
        <w:jc w:val="both"/>
      </w:pPr>
      <w:r>
        <w:rPr>
          <w:rFonts w:ascii="Arial" w:cs="Arial" w:eastAsia="Arial" w:hAnsi="Arial"/>
          <w:sz w:val="24"/>
          <w:szCs w:val="24"/>
        </w:rPr>
        <w:t xml:space="preserve">56. Оценка уровня грамотности в рамках исследования производилась без учета детей 425-ти ЗЛ, включая 198 мужчин и 227 женщин. Согласно исследованию, среди всего населения уровень грамотных ЗЛ составляет около 95,5%. Из общего числа, только 19 ЗЛ (9 мужчин и 10 женщин) являются неграмотными, составляя всего около 4,5%. Уровень грамотности среди мужчин (среди ЗЛ) составляет около 95,5%, а уровень грамотности среди женщин - 96%. Средний уровень грамотности составляет 95,5%. Уровень грамотности среди женщин немного выше, чем уровень грамотности среди мужчин. В Таблице 4.2 представленной ниже, подробно изложен статус грамотности ЗЛ с распределением по половому признаку и районам.</w:t>
      </w:r>
    </w:p>
    <w:p>
      <w:pPr>
        <w:spacing w:after="120"/>
        <w:jc w:val="both"/>
      </w:pPr>
      <w:r>
        <w:rPr>
          <w:rFonts w:ascii="Arial" w:cs="Arial" w:eastAsia="Arial" w:hAnsi="Arial"/>
          <w:b/>
          <w:bCs/>
          <w:sz w:val="24"/>
          <w:szCs w:val="24"/>
        </w:rPr>
        <w:t xml:space="preserve">Таблица 4.2. Уровень грамотности ЗЛ с распределением по половому признаку и районам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4"/>
        <w:gridCol w:w="685"/>
        <w:gridCol w:w="685"/>
        <w:gridCol w:w="685"/>
        <w:gridCol w:w="713"/>
        <w:gridCol w:w="713"/>
        <w:gridCol w:w="713"/>
        <w:gridCol w:w="628"/>
        <w:gridCol w:w="628"/>
        <w:gridCol w:w="628"/>
        <w:gridCol w:w="672"/>
        <w:gridCol w:w="672"/>
        <w:gridCol w:w="672"/>
      </w:tblGrid>
      <w:tr>
        <w:tc>
          <w:tcPr>
            <w:tcW w:type="dxa" w:w="20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грамотности</w:t>
            </w:r>
          </w:p>
        </w:tc>
        <w:tc>
          <w:tcPr>
            <w:tcW w:type="dxa" w:w="205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213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8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20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Неграмотные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 проф.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r>
    </w:tbl>
    <w:p>
      <w:pPr>
        <w:spacing w:after="120"/>
        <w:jc w:val="both"/>
      </w:pPr>
      <w:r>
        <w:rPr>
          <w:rFonts w:ascii="Arial" w:cs="Arial" w:eastAsia="Arial" w:hAnsi="Arial"/>
          <w:b/>
          <w:bCs/>
          <w:sz w:val="24"/>
          <w:szCs w:val="24"/>
        </w:rPr>
        <w:t xml:space="preserve">4.5.3. Занятость и трудоустройство в районах, затронутых проектом</w:t>
      </w:r>
    </w:p>
    <w:p>
      <w:pPr>
        <w:spacing w:after="120"/>
        <w:jc w:val="both"/>
      </w:pPr>
      <w:r>
        <w:rPr>
          <w:rFonts w:ascii="Arial" w:cs="Arial" w:eastAsia="Arial" w:hAnsi="Arial"/>
          <w:sz w:val="24"/>
          <w:szCs w:val="24"/>
        </w:rPr>
        <w:t xml:space="preserve">57. Согласно данным исследования, из 302 человек взрослого населения только 109 вовлечены в получение дохода для своих семей, среди получателей дохода более 50% (63 человека) занимаются бизнесом, 29,4% - сельскохозяйственной деятельностью и 14 человек (12,8%) работают в сфере образования, здравоохранения и в государственном секторе. Среди взрослого населения 65 человек (21,5%) являются пенсионерами и 61 человек (20,2%) занимается домашним хозяйством. Подробная информация о статусе занятости ЗЛ в разрезе районов представлена в Таблице 4.3 ниже.</w:t>
      </w:r>
    </w:p>
    <w:p>
      <w:pPr>
        <w:spacing w:after="120"/>
        <w:jc w:val="both"/>
      </w:pPr>
      <w:r>
        <w:rPr>
          <w:rFonts w:ascii="Arial" w:cs="Arial" w:eastAsia="Arial" w:hAnsi="Arial"/>
          <w:b/>
          <w:bCs/>
          <w:sz w:val="24"/>
          <w:szCs w:val="24"/>
        </w:rPr>
        <w:t xml:space="preserve">Таблица 4.3: Сферы занятости ЗЛ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7"/>
        <w:gridCol w:w="1800"/>
        <w:gridCol w:w="1800"/>
        <w:gridCol w:w="1800"/>
        <w:gridCol w:w="1800"/>
      </w:tblGrid>
      <w:tr>
        <w:tc>
          <w:tcPr>
            <w:tcW w:type="dxa" w:w="29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сферы занятости</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районы</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Бизнес</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сектор</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 в поисках работы</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Пенсионеры</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Домохозяйки</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bl>
    <w:p>
      <w:pPr>
        <w:spacing w:after="120"/>
        <w:jc w:val="both"/>
      </w:pPr>
      <w:r>
        <w:rPr>
          <w:rFonts w:ascii="Arial" w:cs="Arial" w:eastAsia="Arial" w:hAnsi="Arial"/>
          <w:b/>
          <w:bCs/>
          <w:sz w:val="24"/>
          <w:szCs w:val="24"/>
        </w:rPr>
        <w:t xml:space="preserve">4.5.4. Ежемесячный доход и источники дохода 3J1 в разрезе районов, затрагиваемых проектом</w:t>
      </w:r>
    </w:p>
    <w:p>
      <w:pPr>
        <w:spacing w:after="120"/>
        <w:jc w:val="both"/>
      </w:pPr>
      <w:r>
        <w:rPr>
          <w:rFonts w:ascii="Arial" w:cs="Arial" w:eastAsia="Arial" w:hAnsi="Arial"/>
          <w:sz w:val="24"/>
          <w:szCs w:val="24"/>
        </w:rPr>
        <w:t xml:space="preserve">58. В рамках исследования проводились опросы ДХ об их доходах и источниках их получения. На основе собранной информации была проведена оценка с использованием среднего значения по каждому источнику дохода и суммированием всех источников для расчета среднемесячного дохода домохозяйств. Данные исследования показывают, что среднемесячный доход домохозяйств в Ноокенском районе составляет 16046,5 сом, в Базар-Коргонском - 17556,4 сом и в Сузакском - 14885,3. При этом, общее среднее значение для всех трех затрагиваемых проектом районов составляет 16162,7 сома. Подробная информация об уровнях дохода с учетом источников дохода в разрезе районов представлена ниже в Таблице 4.4.</w:t>
      </w:r>
    </w:p>
    <w:p>
      <w:pPr>
        <w:spacing w:after="120"/>
        <w:jc w:val="both"/>
      </w:pPr>
      <w:r>
        <w:rPr>
          <w:rFonts w:ascii="Arial" w:cs="Arial" w:eastAsia="Arial" w:hAnsi="Arial"/>
          <w:b/>
          <w:bCs/>
          <w:sz w:val="24"/>
          <w:szCs w:val="24"/>
        </w:rPr>
        <w:t xml:space="preserve">Таблица 4.4: Среднемесячный доход ДХ (в кыргызских сомах), получаемый из различных источников,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7"/>
        <w:gridCol w:w="1612"/>
        <w:gridCol w:w="1753"/>
        <w:gridCol w:w="1571"/>
        <w:gridCol w:w="1865"/>
      </w:tblGrid>
      <w:tr>
        <w:tc>
          <w:tcPr>
            <w:tcW w:type="dxa" w:w="3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дохода</w:t>
            </w:r>
          </w:p>
        </w:tc>
        <w:tc>
          <w:tcPr>
            <w:tcW w:type="dxa" w:w="1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доход (по всем районам)</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1564,6</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Торговля/бизнес</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4776,9</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6563,9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5863,6</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4889</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Физический/ежедневный труд</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655,8</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Зарплата</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5312,5</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2267,7</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Грузотранспортные перевозки</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Государственная/социальная помощь/пенсия</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3470,6</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1913,1</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2355,1</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1621,6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767,4</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16046,5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16162,7</w:t>
            </w:r>
          </w:p>
        </w:tc>
      </w:tr>
    </w:tbl>
    <w:p>
      <w:pPr>
        <w:spacing w:after="120"/>
        <w:jc w:val="both"/>
      </w:pPr>
      <w:r>
        <w:rPr>
          <w:rFonts w:ascii="Arial" w:cs="Arial" w:eastAsia="Arial" w:hAnsi="Arial"/>
          <w:b/>
          <w:bCs/>
          <w:sz w:val="24"/>
          <w:szCs w:val="24"/>
        </w:rPr>
        <w:t xml:space="preserve">4.5.5. Статус затрагиваемых проектом домохозяйств в отношении владения активами</w:t>
      </w:r>
    </w:p>
    <w:p>
      <w:pPr>
        <w:spacing w:after="120"/>
        <w:jc w:val="both"/>
      </w:pPr>
      <w:r>
        <w:rPr>
          <w:rFonts w:ascii="Arial" w:cs="Arial" w:eastAsia="Arial" w:hAnsi="Arial"/>
          <w:sz w:val="24"/>
          <w:szCs w:val="24"/>
        </w:rPr>
        <w:t xml:space="preserve">59. Исследование показало, что домохозяйствам обычно принадлежат дома из 4-х комнат с большими дворами. Средний размер домов составляет около 93,4 м2. Дома в основном находились в собственности домохозяйств за исключением 3-х арендаторов. В результате исследования было выявлено, что ДХ владеют различными типами активов. Это главным образом электротовары и электроника (например, газовые плиты, микроволновые печи, стиральные машины, холодильники, телевизоры, радио, плееры и т.д.). Наиболее распространенным видом транспортных средств каждого домашнего хозяйства являются велосипеды, но также некоторым ДХ принадлежат и мотоциклы, автомобили, грузовики, тракторы и другое сельскохозяйственное оборудование. Подробная информация о праве собственности на активы ДХ представлена в таблице ниже.</w:t>
      </w:r>
    </w:p>
    <w:p>
      <w:pPr>
        <w:spacing w:after="120"/>
        <w:jc w:val="both"/>
      </w:pPr>
      <w:r>
        <w:rPr>
          <w:rFonts w:ascii="Arial" w:cs="Arial" w:eastAsia="Arial" w:hAnsi="Arial"/>
          <w:b/>
          <w:bCs/>
          <w:sz w:val="24"/>
          <w:szCs w:val="24"/>
        </w:rPr>
        <w:t xml:space="preserve">Таблица 4.5: Активы, находящиеся во владении затронутых проектом домохозяйств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3"/>
        <w:gridCol w:w="1848"/>
        <w:gridCol w:w="1848"/>
        <w:gridCol w:w="1848"/>
      </w:tblGrid>
      <w:tr>
        <w:tc>
          <w:tcPr>
            <w:tcW w:type="dxa" w:w="46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 сельскохозяйственное оборудование/инструменты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Мотоциклы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Кухонные плиты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Микроволновые печи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Газовые плиты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Стиральные машины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DVD-плееры/телевизоры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b/>
          <w:bCs/>
          <w:sz w:val="24"/>
          <w:szCs w:val="24"/>
        </w:rPr>
        <w:t xml:space="preserve">4.5.6. Статус затрагиваемых проектом ДХ в отношении гигиены водопользования</w:t>
      </w:r>
    </w:p>
    <w:p>
      <w:pPr>
        <w:spacing w:after="120"/>
        <w:jc w:val="both"/>
      </w:pPr>
      <w:r>
        <w:rPr>
          <w:rFonts w:ascii="Arial" w:cs="Arial" w:eastAsia="Arial" w:hAnsi="Arial"/>
          <w:sz w:val="24"/>
          <w:szCs w:val="24"/>
        </w:rPr>
        <w:t xml:space="preserve">60. Что касается гигиены водопользования ЗДХ, то согласно СЭИ, из 110-ти домохозяйств, большинство, а именно 65, используют покупную воду в качестве основного источника питьевой воды и воды для стирки/купания. Из общего числа обследованных домохозяйств только 37 используют водопроводную воду, при этом, 8 домохозяйств используют традиционные/неглубокие скважины. В нижеизложенной таблице приведены данные об источниках воды, используемых домохозяйствами в различных целях.</w:t>
      </w:r>
    </w:p>
    <w:p>
      <w:pPr>
        <w:spacing w:after="120"/>
        <w:jc w:val="both"/>
      </w:pPr>
      <w:r>
        <w:rPr>
          <w:rFonts w:ascii="Arial" w:cs="Arial" w:eastAsia="Arial" w:hAnsi="Arial"/>
          <w:b/>
          <w:bCs/>
          <w:sz w:val="24"/>
          <w:szCs w:val="24"/>
        </w:rPr>
        <w:t xml:space="preserve">Таблица 4.6: Источники использования воды в различных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2"/>
        <w:gridCol w:w="3158"/>
        <w:gridCol w:w="3158"/>
      </w:tblGrid>
      <w:tr>
        <w:tc>
          <w:tcPr>
            <w:tcW w:type="dxa" w:w="38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воды</w:t>
            </w:r>
          </w:p>
        </w:tc>
        <w:tc>
          <w:tcPr>
            <w:tcW w:type="dxa" w:w="63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использования (многозначное решение)</w:t>
            </w:r>
          </w:p>
        </w:tc>
      </w:tr>
      <w:tr>
        <w:tc>
          <w:tcPr>
            <w:vMerge w:val="continue"/>
            <w:tcBorders>
              <w:top w:val="single" w:color="CBBF9E" w:sz="4"/>
              <w:left w:val="single" w:color="CBBF9E" w:sz="4"/>
              <w:bottom w:val="single" w:color="CBBF9E" w:sz="4"/>
              <w:right w:val="single" w:color="CBBF9E" w:sz="4"/>
            </w:tcBorders>
          </w:tcP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Питье/приготовление пищи</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Стирка и купание</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Традиционные/неглубокие скважины</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Покупная вода</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 река, пруд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источники</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b/>
          <w:bCs/>
          <w:sz w:val="24"/>
          <w:szCs w:val="24"/>
        </w:rPr>
        <w:t xml:space="preserve">4.5.7. Использование электроэнергии для освещения и приготовления пищи</w:t>
      </w:r>
    </w:p>
    <w:p>
      <w:pPr>
        <w:spacing w:after="120"/>
        <w:jc w:val="both"/>
      </w:pPr>
      <w:r>
        <w:rPr>
          <w:rFonts w:ascii="Arial" w:cs="Arial" w:eastAsia="Arial" w:hAnsi="Arial"/>
          <w:sz w:val="24"/>
          <w:szCs w:val="24"/>
        </w:rPr>
        <w:t xml:space="preserve">61. Наиболее распространенным источником питания для освещения является электричество, обеспечиваемое государством. Исследование также показало, что все 110 опрошенных домохозяйств используют электричество, поставляемое государством, для освещения, а 69 домохозяйств используют электричество из того же источника для приготовления пиши. Оставшиеся 24 и 17 ДХ используют газ и дрова соответственно для приготовления пищи. В таблице ниже представлены детали использования электроэнергии домохозяйствами для освещения и приготовления пищи.</w:t>
      </w:r>
    </w:p>
    <w:p>
      <w:pPr>
        <w:spacing w:after="120"/>
        <w:jc w:val="both"/>
      </w:pPr>
      <w:r>
        <w:rPr>
          <w:rFonts w:ascii="Arial" w:cs="Arial" w:eastAsia="Arial" w:hAnsi="Arial"/>
          <w:b/>
          <w:bCs/>
          <w:sz w:val="24"/>
          <w:szCs w:val="24"/>
        </w:rPr>
        <w:t xml:space="preserve">Таблица 4.7: Источники электроэнергии, используемые в различных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4"/>
        <w:gridCol w:w="2407"/>
        <w:gridCol w:w="2407"/>
      </w:tblGrid>
      <w:tr>
        <w:tc>
          <w:tcPr>
            <w:tcW w:type="dxa" w:w="53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электроэнергии</w:t>
            </w:r>
          </w:p>
        </w:tc>
        <w:tc>
          <w:tcPr>
            <w:tcW w:type="dxa" w:w="48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использования</w:t>
            </w:r>
          </w:p>
        </w:tc>
      </w:tr>
      <w:tr>
        <w:tc>
          <w:tcPr>
            <w:vMerge w:val="continue"/>
            <w:tcBorders>
              <w:top w:val="single" w:color="CBBF9E" w:sz="4"/>
              <w:left w:val="single" w:color="CBBF9E" w:sz="4"/>
              <w:bottom w:val="single" w:color="CBBF9E" w:sz="4"/>
              <w:right w:val="single" w:color="CBBF9E" w:sz="4"/>
            </w:tcBorders>
          </w:tcP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Приготовление пищи</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предоставляемая Государством</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Дрова</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center"/>
      </w:pPr>
      <w:r>
        <w:rPr>
          <w:rFonts w:ascii="Arial" w:cs="Arial" w:eastAsia="Arial" w:hAnsi="Arial"/>
          <w:b/>
          <w:bCs/>
          <w:sz w:val="24"/>
          <w:szCs w:val="24"/>
        </w:rPr>
        <w:t xml:space="preserve">ГЛАВА 5. ПРАВОВАЯ ПОЛИТИКА И ОБЩИЕ ПРИНЦИПЫ ПЕРЕСЕЛЕНИЯ</w:t>
      </w:r>
    </w:p>
    <w:p>
      <w:pPr>
        <w:spacing w:after="120"/>
        <w:jc w:val="both"/>
      </w:pPr>
      <w:r>
        <w:rPr>
          <w:rFonts w:ascii="Arial" w:cs="Arial" w:eastAsia="Arial" w:hAnsi="Arial"/>
          <w:sz w:val="24"/>
          <w:szCs w:val="24"/>
        </w:rPr>
        <w:t xml:space="preserve">62. Правовая база по вопросам изъятия земли и переселения (ИЗП) в рамках проекта основывается на Положении о политике по защитным мерам АБР (ППЗМ АБР 2009 г.) и законодательстве Кыргызской Республики.</w:t>
      </w:r>
    </w:p>
    <w:p>
      <w:pPr>
        <w:spacing w:after="120"/>
        <w:jc w:val="both"/>
      </w:pPr>
      <w:r>
        <w:rPr>
          <w:rFonts w:ascii="Arial" w:cs="Arial" w:eastAsia="Arial" w:hAnsi="Arial"/>
          <w:b/>
          <w:bCs/>
          <w:sz w:val="24"/>
          <w:szCs w:val="24"/>
        </w:rPr>
        <w:t xml:space="preserve">5.1. Законодательство Кыргызской Республики</w:t>
      </w:r>
    </w:p>
    <w:p>
      <w:pPr>
        <w:spacing w:after="120"/>
        <w:jc w:val="both"/>
      </w:pPr>
      <w:r>
        <w:rPr>
          <w:rFonts w:ascii="Arial" w:cs="Arial" w:eastAsia="Arial" w:hAnsi="Arial"/>
          <w:sz w:val="24"/>
          <w:szCs w:val="24"/>
        </w:rPr>
        <w:t xml:space="preserve">63. Права собственности на землю/недвижимое имущество, а также правила и порядок получения права государственной собственности на земельные участки, находящиеся в частной собственности, вследствие необходимых общественных потребностей, вызванных строительными работами, регулируются следующими законами и нормативными актами:</w:t>
      </w:r>
    </w:p>
    <w:p>
      <w:pPr>
        <w:spacing w:after="120"/>
        <w:jc w:val="both"/>
      </w:pPr>
      <w:r>
        <w:rPr>
          <w:rFonts w:ascii="Arial" w:cs="Arial" w:eastAsia="Arial" w:hAnsi="Arial"/>
          <w:sz w:val="24"/>
          <w:szCs w:val="24"/>
        </w:rPr>
        <w:t xml:space="preserve">- Конституция Кыргызской Республики (принята Законом Кыргызской Республики от 27 июня 2010 г. в редакции от 28 декабря 2016 г. № 218);</w:t>
      </w:r>
    </w:p>
    <w:p>
      <w:pPr>
        <w:spacing w:after="120"/>
        <w:jc w:val="both"/>
      </w:pPr>
      <w:r>
        <w:rPr>
          <w:rFonts w:ascii="Arial" w:cs="Arial" w:eastAsia="Arial" w:hAnsi="Arial"/>
          <w:sz w:val="24"/>
          <w:szCs w:val="24"/>
        </w:rPr>
        <w:t xml:space="preserve">- Гражданский кодекс (8 мая 1996 г., № 16 в редакции от 22 июля 2020 г. № 83);</w:t>
      </w:r>
    </w:p>
    <w:p>
      <w:pPr>
        <w:spacing w:after="120"/>
        <w:jc w:val="both"/>
      </w:pPr>
      <w:r>
        <w:rPr>
          <w:rFonts w:ascii="Arial" w:cs="Arial" w:eastAsia="Arial" w:hAnsi="Arial"/>
          <w:sz w:val="24"/>
          <w:szCs w:val="24"/>
        </w:rPr>
        <w:t xml:space="preserve">- Земельный кодекс (2 июня 1999 года, № 45 в редакции от 30 июля 2019 года, № 107);</w:t>
      </w:r>
    </w:p>
    <w:p>
      <w:pPr>
        <w:spacing w:after="120"/>
        <w:jc w:val="both"/>
      </w:pPr>
      <w:r>
        <w:rPr>
          <w:rFonts w:ascii="Arial" w:cs="Arial" w:eastAsia="Arial" w:hAnsi="Arial"/>
          <w:sz w:val="24"/>
          <w:szCs w:val="24"/>
        </w:rPr>
        <w:t xml:space="preserve">- Закон об управлении землями сельскохозяйственного назначения (11 января 2001 г., № 4, в редакции от 30 июня 2018 г. № 64);</w:t>
      </w:r>
    </w:p>
    <w:p>
      <w:pPr>
        <w:spacing w:after="120"/>
        <w:jc w:val="both"/>
      </w:pPr>
      <w:r>
        <w:rPr>
          <w:rFonts w:ascii="Arial" w:cs="Arial" w:eastAsia="Arial" w:hAnsi="Arial"/>
          <w:sz w:val="24"/>
          <w:szCs w:val="24"/>
        </w:rPr>
        <w:t xml:space="preserve">- Закон об автомобильных дорогах (№ 72 от 2 июня 1998 года, с последними изменениями от 24 июля 2019 года № 99);</w:t>
      </w:r>
    </w:p>
    <w:p>
      <w:pPr>
        <w:spacing w:after="120"/>
        <w:jc w:val="both"/>
      </w:pPr>
      <w:r>
        <w:rPr>
          <w:rFonts w:ascii="Arial" w:cs="Arial" w:eastAsia="Arial" w:hAnsi="Arial"/>
          <w:sz w:val="24"/>
          <w:szCs w:val="24"/>
        </w:rPr>
        <w:t xml:space="preserve">- Закон о государственной регистрации прав на недвижимое имущество и сделок с ним (22 декабря 1988 г., № 153, в редакции от 6 августа 2018 г.);</w:t>
      </w:r>
    </w:p>
    <w:p>
      <w:pPr>
        <w:spacing w:after="120"/>
        <w:jc w:val="both"/>
      </w:pPr>
      <w:r>
        <w:rPr>
          <w:rFonts w:ascii="Arial" w:cs="Arial" w:eastAsia="Arial" w:hAnsi="Arial"/>
          <w:sz w:val="24"/>
          <w:szCs w:val="24"/>
        </w:rPr>
        <w:t xml:space="preserve">- Закон о порядке рассмотрения обращений граждан (от 4 мая 2007 г., в редакции от 27 июля 2016 г.);</w:t>
      </w:r>
    </w:p>
    <w:p>
      <w:pPr>
        <w:spacing w:after="120"/>
        <w:jc w:val="both"/>
      </w:pPr>
      <w:r>
        <w:rPr>
          <w:rFonts w:ascii="Arial" w:cs="Arial" w:eastAsia="Arial" w:hAnsi="Arial"/>
          <w:sz w:val="24"/>
          <w:szCs w:val="24"/>
        </w:rPr>
        <w:t xml:space="preserve">- Постановление об утверждении стандартов оценки имущества, обязательных к применению всеми субъектами оценочной деятельности в Кыргызской Республике (Постановление Правительства № 217 от 3 апреля 2006 г. в редакции от 15 ноября 2016 г.);</w:t>
      </w:r>
    </w:p>
    <w:p>
      <w:pPr>
        <w:spacing w:after="120"/>
        <w:jc w:val="both"/>
      </w:pPr>
      <w:r>
        <w:rPr>
          <w:rFonts w:ascii="Arial" w:cs="Arial" w:eastAsia="Arial" w:hAnsi="Arial"/>
          <w:sz w:val="24"/>
          <w:szCs w:val="24"/>
        </w:rPr>
        <w:t xml:space="preserve">- Распоряжение Правительства Кыргызской Республики № 182-р "О приостановлении деятельности по изъятию земли в пределах полосы отвода автомобильной дороги (от 26 мая 2014 года);</w:t>
      </w:r>
    </w:p>
    <w:p>
      <w:pPr>
        <w:spacing w:after="120"/>
        <w:jc w:val="both"/>
      </w:pPr>
      <w:r>
        <w:rPr>
          <w:rFonts w:ascii="Arial" w:cs="Arial" w:eastAsia="Arial" w:hAnsi="Arial"/>
          <w:sz w:val="24"/>
          <w:szCs w:val="24"/>
        </w:rPr>
        <w:t xml:space="preserve">- Приказы районных государственных администраций об учреждении комиссий ИЗП на районном уровне (Базар-Коргонская государственная районная администрация № 16-б от 11 января 2018 года, Ноокенская государственная районная администрация № 174-б от 25 октября 2018 года и Сузакская государственная районная администрация № 267-б от 2 ноября 2018 года).</w:t>
      </w:r>
    </w:p>
    <w:p>
      <w:pPr>
        <w:spacing w:after="120"/>
        <w:jc w:val="both"/>
      </w:pPr>
      <w:r>
        <w:rPr>
          <w:rFonts w:ascii="Arial" w:cs="Arial" w:eastAsia="Arial" w:hAnsi="Arial"/>
          <w:b/>
          <w:bCs/>
          <w:sz w:val="24"/>
          <w:szCs w:val="24"/>
        </w:rPr>
        <w:t xml:space="preserve">5.1.1. Конституция Кыргызской Республики</w:t>
      </w:r>
    </w:p>
    <w:p>
      <w:pPr>
        <w:spacing w:after="120"/>
        <w:jc w:val="both"/>
      </w:pPr>
      <w:r>
        <w:rPr>
          <w:rFonts w:ascii="Arial" w:cs="Arial" w:eastAsia="Arial" w:hAnsi="Arial"/>
          <w:sz w:val="24"/>
          <w:szCs w:val="24"/>
        </w:rPr>
        <w:t xml:space="preserve">64. Конституция Кыргызской Республики является основным и высшим законом, которому должны соответствовать все остальные законы Кыргызской Республики. Согласно Конституции, международные договоры, участником которых является Кыргызская Республика, вступившие в силу в установленном законом порядке, являются составной частью правовой системы Кыргызской Республики. Вступление в силу международного соглашения может осуществляться путем его подписания, обмена нотами и письмами, ратификации, одобрения, присоединения к международному соглашению или иным образом, согласованным сторонами такого международного соглашения.</w:t>
      </w:r>
    </w:p>
    <w:p>
      <w:pPr>
        <w:spacing w:after="120"/>
        <w:jc w:val="both"/>
      </w:pPr>
      <w:r>
        <w:rPr>
          <w:rFonts w:ascii="Arial" w:cs="Arial" w:eastAsia="Arial" w:hAnsi="Arial"/>
          <w:sz w:val="24"/>
          <w:szCs w:val="24"/>
        </w:rPr>
        <w:t xml:space="preserve">Статья 12 Конституции Кыргызской Республики также предусматривает следующее:</w:t>
      </w:r>
    </w:p>
    <w:p>
      <w:pPr>
        <w:spacing w:after="120"/>
        <w:jc w:val="both"/>
      </w:pPr>
      <w:r>
        <w:rPr>
          <w:rFonts w:ascii="Arial" w:cs="Arial" w:eastAsia="Arial" w:hAnsi="Arial"/>
          <w:sz w:val="24"/>
          <w:szCs w:val="24"/>
        </w:rPr>
        <w:t xml:space="preserve">- Кыргызская Республика признает разнообразие форм собственности и гарантирует равную правовую защиту частной, государственной, муниципальной и других форм собственности (пункт 1).</w:t>
      </w:r>
    </w:p>
    <w:p>
      <w:pPr>
        <w:spacing w:after="120"/>
        <w:jc w:val="both"/>
      </w:pPr>
      <w:r>
        <w:rPr>
          <w:rFonts w:ascii="Arial" w:cs="Arial" w:eastAsia="Arial" w:hAnsi="Arial"/>
          <w:sz w:val="24"/>
          <w:szCs w:val="24"/>
        </w:rPr>
        <w:t xml:space="preserve">- Собственность неприкосновенна, и никто не может быть произвольно лишен своего имущества. Собственность может быть приобретена государством против воли лица (стороны) только на основании решения суда (пункт 2).</w:t>
      </w:r>
    </w:p>
    <w:p>
      <w:pPr>
        <w:spacing w:after="120"/>
        <w:jc w:val="both"/>
      </w:pPr>
      <w:r>
        <w:rPr>
          <w:rFonts w:ascii="Arial" w:cs="Arial" w:eastAsia="Arial" w:hAnsi="Arial"/>
          <w:sz w:val="24"/>
          <w:szCs w:val="24"/>
        </w:rPr>
        <w:t xml:space="preserve">- Земля может находиться в частной, муниципальной и других формах собственности, за исключением пастбищ, которые не могут быть в частной собственности (статья 5).</w:t>
      </w:r>
    </w:p>
    <w:p>
      <w:pPr>
        <w:spacing w:after="120"/>
        <w:jc w:val="both"/>
      </w:pPr>
      <w:r>
        <w:rPr>
          <w:rFonts w:ascii="Arial" w:cs="Arial" w:eastAsia="Arial" w:hAnsi="Arial"/>
          <w:sz w:val="24"/>
          <w:szCs w:val="24"/>
        </w:rPr>
        <w:t xml:space="preserve">- 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 (пункт 2).</w:t>
      </w:r>
    </w:p>
    <w:p>
      <w:pPr>
        <w:spacing w:after="120"/>
        <w:jc w:val="both"/>
      </w:pPr>
      <w:r>
        <w:rPr>
          <w:rFonts w:ascii="Arial" w:cs="Arial" w:eastAsia="Arial" w:hAnsi="Arial"/>
          <w:b/>
          <w:bCs/>
          <w:sz w:val="24"/>
          <w:szCs w:val="24"/>
        </w:rPr>
        <w:t xml:space="preserve">5.1.2. Гражданский кодекс</w:t>
      </w:r>
    </w:p>
    <w:p>
      <w:pPr>
        <w:spacing w:after="120"/>
        <w:jc w:val="both"/>
      </w:pPr>
      <w:r>
        <w:rPr>
          <w:rFonts w:ascii="Arial" w:cs="Arial" w:eastAsia="Arial" w:hAnsi="Arial"/>
          <w:sz w:val="24"/>
          <w:szCs w:val="24"/>
        </w:rPr>
        <w:t xml:space="preserve">65. Гражданский кодекс (от 8 мая 1996 года, № 16, в последней редакции от 6 августа 2018 года, № 88) предусматривает, что: сторона, права которой нарушены, может требовать полного возмещения убытков (полного возмещения понесенных убытков), за исключением случаев, предусмотренных национальным законодательством или если соглашения (контракты), подготовленные в соответствии с национальным законодательством, указывают на обратное. Соответствующие положения включают статьи 14 и 15.</w:t>
      </w:r>
    </w:p>
    <w:p>
      <w:pPr>
        <w:spacing w:after="120"/>
        <w:jc w:val="both"/>
      </w:pPr>
      <w:r>
        <w:rPr>
          <w:rFonts w:ascii="Arial" w:cs="Arial" w:eastAsia="Arial" w:hAnsi="Arial"/>
          <w:sz w:val="24"/>
          <w:szCs w:val="24"/>
        </w:rPr>
        <w:t xml:space="preserve">Статья 14. Возмещение убытков. Пункт 1 статьи 14 определяет убытки, подлежащие возмещению (компенсации):</w:t>
      </w:r>
    </w:p>
    <w:p>
      <w:pPr>
        <w:spacing w:after="120"/>
        <w:jc w:val="both"/>
      </w:pPr>
      <w:r>
        <w:rPr>
          <w:rFonts w:ascii="Arial" w:cs="Arial" w:eastAsia="Arial" w:hAnsi="Arial"/>
          <w:sz w:val="24"/>
          <w:szCs w:val="24"/>
        </w:rPr>
        <w:t xml:space="preserve">(i)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jc w:val="both"/>
      </w:pPr>
      <w:r>
        <w:rPr>
          <w:rFonts w:ascii="Arial" w:cs="Arial" w:eastAsia="Arial" w:hAnsi="Arial"/>
          <w:sz w:val="24"/>
          <w:szCs w:val="24"/>
        </w:rPr>
        <w:t xml:space="preserve">(ii) Под убытками понимаются:</w:t>
      </w:r>
    </w:p>
    <w:p>
      <w:pPr>
        <w:spacing w:after="120"/>
        <w:jc w:val="both"/>
      </w:pPr>
      <w:r>
        <w:rPr>
          <w:rFonts w:ascii="Arial" w:cs="Arial" w:eastAsia="Arial" w:hAnsi="Arial"/>
          <w:sz w:val="24"/>
          <w:szCs w:val="24"/>
        </w:rPr>
        <w:t xml:space="preserve">-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w:t>
      </w:r>
    </w:p>
    <w:p>
      <w:pPr>
        <w:spacing w:after="120"/>
        <w:jc w:val="both"/>
      </w:pPr>
      <w:r>
        <w:rPr>
          <w:rFonts w:ascii="Arial" w:cs="Arial" w:eastAsia="Arial" w:hAnsi="Arial"/>
          <w:sz w:val="24"/>
          <w:szCs w:val="24"/>
        </w:rPr>
        <w:t xml:space="preserve">-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jc w:val="both"/>
      </w:pPr>
      <w:r>
        <w:rPr>
          <w:rFonts w:ascii="Arial" w:cs="Arial" w:eastAsia="Arial" w:hAnsi="Arial"/>
          <w:sz w:val="24"/>
          <w:szCs w:val="24"/>
        </w:rPr>
        <w:t xml:space="preserve">-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spacing w:after="120"/>
        <w:jc w:val="both"/>
      </w:pPr>
      <w:r>
        <w:rPr>
          <w:rFonts w:ascii="Arial" w:cs="Arial" w:eastAsia="Arial" w:hAnsi="Arial"/>
          <w:sz w:val="24"/>
          <w:szCs w:val="24"/>
        </w:rPr>
        <w:t xml:space="preserve">Статья 15. Возмещение убытков, причиненных государственными органами и органами местного самоуправления.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w:t>
      </w:r>
    </w:p>
    <w:p>
      <w:pPr>
        <w:spacing w:after="120"/>
        <w:jc w:val="both"/>
      </w:pPr>
      <w:r>
        <w:rPr>
          <w:rFonts w:ascii="Arial" w:cs="Arial" w:eastAsia="Arial" w:hAnsi="Arial"/>
          <w:b/>
          <w:bCs/>
          <w:sz w:val="24"/>
          <w:szCs w:val="24"/>
        </w:rPr>
        <w:t xml:space="preserve">5.1.3. Земельный кодекс</w:t>
      </w:r>
    </w:p>
    <w:p>
      <w:pPr>
        <w:spacing w:after="120"/>
        <w:jc w:val="both"/>
      </w:pPr>
      <w:r>
        <w:rPr>
          <w:rFonts w:ascii="Arial" w:cs="Arial" w:eastAsia="Arial" w:hAnsi="Arial"/>
          <w:sz w:val="24"/>
          <w:szCs w:val="24"/>
        </w:rPr>
        <w:t xml:space="preserve">66. Статья 68 Земельного кодекса (2 июня 1999 г. № 45, в последней редакции от 30 июля 2019 г. № 107) содержит положения об изъятии земельного участка для государственных и общественных нужд.</w:t>
      </w:r>
    </w:p>
    <w:p>
      <w:pPr>
        <w:spacing w:after="120"/>
        <w:jc w:val="both"/>
      </w:pPr>
      <w:r>
        <w:rPr>
          <w:rFonts w:ascii="Arial" w:cs="Arial" w:eastAsia="Arial" w:hAnsi="Arial"/>
          <w:sz w:val="24"/>
          <w:szCs w:val="24"/>
        </w:rPr>
        <w:t xml:space="preserve">Статья 68. Изъятие (выкуп) земельного участка для государственных и общественных нужд:</w:t>
      </w:r>
    </w:p>
    <w:p>
      <w:pPr>
        <w:spacing w:after="120"/>
        <w:jc w:val="both"/>
      </w:pPr>
      <w:r>
        <w:rPr>
          <w:rFonts w:ascii="Arial" w:cs="Arial" w:eastAsia="Arial" w:hAnsi="Arial"/>
          <w:sz w:val="24"/>
          <w:szCs w:val="24"/>
        </w:rPr>
        <w:t xml:space="preserve">- Изъятие (выкуп) земельного участка для государственных и общественных нужд может производиться на основании договора между уполномоченным органом и собственником земельного участка или землепользователем. В случае несогласия собственника земельного участка или землепользователя с изъятием (выкупом) или его условиями уполномоченный орган вправе обратиться в двухмесячный срок в суд с иском о возмездном изъятии (выкупе) земельного участка с момента получения отказа.</w:t>
      </w:r>
    </w:p>
    <w:p>
      <w:pPr>
        <w:spacing w:after="120"/>
        <w:jc w:val="both"/>
      </w:pPr>
      <w:r>
        <w:rPr>
          <w:rFonts w:ascii="Arial" w:cs="Arial" w:eastAsia="Arial" w:hAnsi="Arial"/>
          <w:sz w:val="24"/>
          <w:szCs w:val="24"/>
        </w:rPr>
        <w:t xml:space="preserve">- При определении выкупной цены земельного участка в него включаются рыночная стоимость права на земельный участок и находящихся на нем зданий и сооружений, а также убытки, причиненные собственнику или землепользователю в связи с прекращением права на земельный участок, включая убытки, связанные с досрочным прекращением обязательств перед третьими лицами.</w:t>
      </w:r>
    </w:p>
    <w:p>
      <w:pPr>
        <w:spacing w:after="120"/>
        <w:jc w:val="both"/>
      </w:pPr>
      <w:r>
        <w:rPr>
          <w:rFonts w:ascii="Arial" w:cs="Arial" w:eastAsia="Arial" w:hAnsi="Arial"/>
          <w:sz w:val="24"/>
          <w:szCs w:val="24"/>
        </w:rPr>
        <w:t xml:space="preserve">- При изъятии земельного участка для государственных или общественных нужд с согласия собственника земельного участка или землепользователя ему может быть предоставлен другой земельный участок с зачетом стоимости права на него в выкупную цену.</w:t>
      </w:r>
    </w:p>
    <w:p>
      <w:pPr>
        <w:spacing w:after="120"/>
        <w:jc w:val="both"/>
      </w:pPr>
      <w:r>
        <w:rPr>
          <w:rFonts w:ascii="Arial" w:cs="Arial" w:eastAsia="Arial" w:hAnsi="Arial"/>
          <w:sz w:val="24"/>
          <w:szCs w:val="24"/>
        </w:rPr>
        <w:t xml:space="preserve">67. Согласно Земельному кодексу, право на землю и относящиеся к ней сооружения, может быть прекращено, когда, кроме прочего, данная земля необходима для государственных или общественных нужд. Для официального прекращения прав на землю и на относящиеся к ней сооружения требуется решение суда. Земельный участок может быть изъят только после компенсации затрат на прекращение прав и связанных с этих расходов (статья 49).</w:t>
      </w:r>
    </w:p>
    <w:p>
      <w:pPr>
        <w:spacing w:after="120"/>
        <w:jc w:val="both"/>
      </w:pPr>
      <w:r>
        <w:rPr>
          <w:rFonts w:ascii="Arial" w:cs="Arial" w:eastAsia="Arial" w:hAnsi="Arial"/>
          <w:sz w:val="24"/>
          <w:szCs w:val="24"/>
        </w:rPr>
        <w:t xml:space="preserve">В соответствии со статьей 49,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jc w:val="both"/>
      </w:pPr>
      <w:r>
        <w:rPr>
          <w:rFonts w:ascii="Arial" w:cs="Arial" w:eastAsia="Arial" w:hAnsi="Arial"/>
          <w:sz w:val="24"/>
          <w:szCs w:val="24"/>
        </w:rPr>
        <w:t xml:space="preserve">- использовать землю по своему усмотрению и в соответствии с целевым назначением ПИЗП;</w:t>
      </w:r>
    </w:p>
    <w:p>
      <w:pPr>
        <w:spacing w:after="120"/>
        <w:jc w:val="both"/>
      </w:pPr>
      <w:r>
        <w:rPr>
          <w:rFonts w:ascii="Arial" w:cs="Arial" w:eastAsia="Arial" w:hAnsi="Arial"/>
          <w:sz w:val="24"/>
          <w:szCs w:val="24"/>
        </w:rPr>
        <w:t xml:space="preserve">-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w:t>
      </w:r>
    </w:p>
    <w:p>
      <w:pPr>
        <w:spacing w:after="120"/>
        <w:jc w:val="both"/>
      </w:pPr>
      <w:r>
        <w:rPr>
          <w:rFonts w:ascii="Arial" w:cs="Arial" w:eastAsia="Arial" w:hAnsi="Arial"/>
          <w:sz w:val="24"/>
          <w:szCs w:val="24"/>
        </w:rPr>
        <w:t xml:space="preserve">- требовать возмещения понесенных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68. Земельный кодекс (Статья 72) устанавливает, что земельные доли размером до 5 га являются неделимыми. А Статья 78 Земельного Кодекса устанавливает режим использования в отношении земель общего пользования. В частности, он указывает на то, что земли общего пользования в населенных пунктах/городах/селах (например, дороги, улицы, площади, тротуары, проезды, парковые полосы, бульвары, мини-парки, водоемы и т.д.) не могут находиться в частной собственности и только в исключительных случаях могут быть предоставлены уполномоченным государственным органом на условиях аренды для юридических и физических лиц сроком до 5-ти лет. Уполномоченный государственный орган может разрешить строительство сооружений облегченного типа (не капитальных) на землях общего пользования.</w:t>
      </w:r>
    </w:p>
    <w:p>
      <w:pPr>
        <w:spacing w:after="120"/>
        <w:jc w:val="both"/>
      </w:pPr>
      <w:r>
        <w:rPr>
          <w:rFonts w:ascii="Arial" w:cs="Arial" w:eastAsia="Arial" w:hAnsi="Arial"/>
          <w:b/>
          <w:bCs/>
          <w:sz w:val="24"/>
          <w:szCs w:val="24"/>
        </w:rPr>
        <w:t xml:space="preserve">5.1.4. Закон об управлении землями сельскохозяйственного назначения</w:t>
      </w:r>
    </w:p>
    <w:p>
      <w:pPr>
        <w:spacing w:after="120"/>
        <w:jc w:val="both"/>
      </w:pPr>
      <w:r>
        <w:rPr>
          <w:rFonts w:ascii="Arial" w:cs="Arial" w:eastAsia="Arial" w:hAnsi="Arial"/>
          <w:sz w:val="24"/>
          <w:szCs w:val="24"/>
        </w:rPr>
        <w:t xml:space="preserve">69. Закон об управлении землями сельскохозяйственного назначения дублирует положения Земельного кодекса о неделимости земельных участков сельскохозяйственного назначения площадью до 5 га. Основные принципы приобретения сельскохозяйственных земель для государственных целей определены в статьях 30, 31 и 32.</w:t>
      </w:r>
    </w:p>
    <w:p>
      <w:pPr>
        <w:spacing w:after="120"/>
        <w:jc w:val="both"/>
      </w:pPr>
      <w:r>
        <w:rPr>
          <w:rFonts w:ascii="Arial" w:cs="Arial" w:eastAsia="Arial" w:hAnsi="Arial"/>
          <w:sz w:val="24"/>
          <w:szCs w:val="24"/>
        </w:rPr>
        <w:t xml:space="preserve">- Статья 30. Земельные доли и участки сельскохозяйственного назначения, находящиеся в собственности граждан Кыргызской Республики, в случаях, необходимых для государственных целей (строительство стратегических объектов и инженерных сооружений), могут быть отчуждены по решению Правительства Кыргызской Республики путем выкупа после выплаты рыночной стоимости земель и расчетных затрат или предоставления равноценного участка из земель Государственного фонда сельскохозяйственных угодий.</w:t>
      </w:r>
    </w:p>
    <w:p>
      <w:pPr>
        <w:spacing w:after="120"/>
        <w:jc w:val="both"/>
      </w:pPr>
      <w:r>
        <w:rPr>
          <w:rFonts w:ascii="Arial" w:cs="Arial" w:eastAsia="Arial" w:hAnsi="Arial"/>
          <w:sz w:val="24"/>
          <w:szCs w:val="24"/>
        </w:rPr>
        <w:t xml:space="preserve">- Статья 31. Собственники земельных долей и участков сельскохозяйственного назначения при неубедительных доводах отчуждения их земель для государственных целей имеют право обратиться в суд.</w:t>
      </w:r>
    </w:p>
    <w:p>
      <w:pPr>
        <w:spacing w:after="120"/>
        <w:jc w:val="both"/>
      </w:pPr>
      <w:r>
        <w:rPr>
          <w:rFonts w:ascii="Arial" w:cs="Arial" w:eastAsia="Arial" w:hAnsi="Arial"/>
          <w:sz w:val="24"/>
          <w:szCs w:val="24"/>
        </w:rPr>
        <w:t xml:space="preserve">- Статья 32. Земли сельскохозяйственного назначения, находящиеся в государственной собственности и переданные в аренду, отчуждаются для государственных целей после выплаты расчетных затрат и упущенной выгоды в момент отчуждения.</w:t>
      </w:r>
    </w:p>
    <w:p>
      <w:pPr>
        <w:spacing w:after="120"/>
        <w:jc w:val="both"/>
      </w:pPr>
      <w:r>
        <w:rPr>
          <w:rFonts w:ascii="Arial" w:cs="Arial" w:eastAsia="Arial" w:hAnsi="Arial"/>
          <w:b/>
          <w:bCs/>
          <w:sz w:val="24"/>
          <w:szCs w:val="24"/>
        </w:rPr>
        <w:t xml:space="preserve">5.1.5. Закон об автомобильных дорогах</w:t>
      </w:r>
    </w:p>
    <w:p>
      <w:pPr>
        <w:spacing w:after="120"/>
        <w:jc w:val="both"/>
      </w:pPr>
      <w:r>
        <w:rPr>
          <w:rFonts w:ascii="Arial" w:cs="Arial" w:eastAsia="Arial" w:hAnsi="Arial"/>
          <w:sz w:val="24"/>
          <w:szCs w:val="24"/>
        </w:rPr>
        <w:t xml:space="preserve">70. В соответствии со статьей 4 Закона об автомобильных дорогах (2 июня 1998 года, № 72, в последней редакции от 24 июля 2019 года № 99), дороги общего пользования могут находиться только в государственной собственности и не могут быть проданы или находиться в частной собственности. Тот же закон (статья 27) предусматривает запрет на следующие виды деятельности на трассе дорог общего пользования, за исключением случаев, если имеется предварительное разрешение со стороны Государственной инспекции дорожного движения и МТИД:</w:t>
      </w:r>
    </w:p>
    <w:p>
      <w:pPr>
        <w:spacing w:after="120"/>
        <w:jc w:val="both"/>
      </w:pPr>
      <w:r>
        <w:rPr>
          <w:rFonts w:ascii="Arial" w:cs="Arial" w:eastAsia="Arial" w:hAnsi="Arial"/>
          <w:sz w:val="24"/>
          <w:szCs w:val="24"/>
        </w:rPr>
        <w:t xml:space="preserve">- торговля на обочине;</w:t>
      </w:r>
    </w:p>
    <w:p>
      <w:pPr>
        <w:spacing w:after="120"/>
        <w:jc w:val="both"/>
      </w:pPr>
      <w:r>
        <w:rPr>
          <w:rFonts w:ascii="Arial" w:cs="Arial" w:eastAsia="Arial" w:hAnsi="Arial"/>
          <w:sz w:val="24"/>
          <w:szCs w:val="24"/>
        </w:rPr>
        <w:t xml:space="preserve">- размещение киосков и аналогичных сооружений.</w:t>
      </w:r>
    </w:p>
    <w:p>
      <w:pPr>
        <w:spacing w:after="120"/>
        <w:jc w:val="both"/>
      </w:pPr>
      <w:r>
        <w:rPr>
          <w:rFonts w:ascii="Arial" w:cs="Arial" w:eastAsia="Arial" w:hAnsi="Arial"/>
          <w:sz w:val="24"/>
          <w:szCs w:val="24"/>
        </w:rPr>
        <w:t xml:space="preserve">71. 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 (Статья 23).</w:t>
      </w:r>
    </w:p>
    <w:p>
      <w:pPr>
        <w:spacing w:after="120"/>
        <w:jc w:val="both"/>
      </w:pPr>
      <w:r>
        <w:rPr>
          <w:rFonts w:ascii="Arial" w:cs="Arial" w:eastAsia="Arial" w:hAnsi="Arial"/>
          <w:b/>
          <w:bCs/>
          <w:sz w:val="24"/>
          <w:szCs w:val="24"/>
        </w:rPr>
        <w:t xml:space="preserve">5.1.6. Закон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72. Закон о государственной регистрации прав на недвижимое имущество и сделок с ним (далее - государственная регистрация прав) представляет собой юридический акт по признанию и подтверждению государством прав на недвижимое имущество, их обременений (ограничений), а также сделок с недвижимостью, обеспечивающий защиту зарегистрированных прав и обременений (ограничений), за исключением случаев, предусмотренных настоящим Законом (Статья 1).</w:t>
      </w:r>
    </w:p>
    <w:p>
      <w:pPr>
        <w:spacing w:after="120"/>
        <w:jc w:val="both"/>
      </w:pPr>
      <w:r>
        <w:rPr>
          <w:rFonts w:ascii="Arial" w:cs="Arial" w:eastAsia="Arial" w:hAnsi="Arial"/>
          <w:sz w:val="24"/>
          <w:szCs w:val="24"/>
        </w:rPr>
        <w:t xml:space="preserve">73. Любой правоустанавливающий или другой документ о правах или их ограничениях, подлежащих обязательной регистрации в соответствии со статьей 4 настоящего Закона, представляется в регистрационный орган не позднее тридцати дней с момента заключения (составления) вышеуказанного документа (Статья 7).</w:t>
      </w:r>
    </w:p>
    <w:p>
      <w:pPr>
        <w:spacing w:after="120"/>
        <w:jc w:val="both"/>
      </w:pPr>
      <w:r>
        <w:rPr>
          <w:rFonts w:ascii="Arial" w:cs="Arial" w:eastAsia="Arial" w:hAnsi="Arial"/>
          <w:sz w:val="24"/>
          <w:szCs w:val="24"/>
        </w:rPr>
        <w:t xml:space="preserve">74. К имущественным правам, которые не подлежат регистрации, но признаются и охраняются государством, относятся (Глава 1, статья 6):</w:t>
      </w:r>
    </w:p>
    <w:p>
      <w:pPr>
        <w:spacing w:after="120"/>
        <w:jc w:val="both"/>
      </w:pPr>
      <w:r>
        <w:rPr>
          <w:rFonts w:ascii="Arial" w:cs="Arial" w:eastAsia="Arial" w:hAnsi="Arial"/>
          <w:sz w:val="24"/>
          <w:szCs w:val="24"/>
        </w:rPr>
        <w:t xml:space="preserve">- право на доступ к существующим линиям электропередач, телефонным и телеграфным линиям и столбам, трубопроводам, геодезическим пунктам, а также другим объектам инфраструктуры, предназначенным для общественного пользования;</w:t>
      </w:r>
    </w:p>
    <w:p>
      <w:pPr>
        <w:spacing w:after="120"/>
        <w:jc w:val="both"/>
      </w:pPr>
      <w:r>
        <w:rPr>
          <w:rFonts w:ascii="Arial" w:cs="Arial" w:eastAsia="Arial" w:hAnsi="Arial"/>
          <w:sz w:val="24"/>
          <w:szCs w:val="24"/>
        </w:rPr>
        <w:t xml:space="preserve">- права супругов, детей и других лиц;</w:t>
      </w:r>
    </w:p>
    <w:p>
      <w:pPr>
        <w:spacing w:after="120"/>
        <w:jc w:val="both"/>
      </w:pPr>
      <w:r>
        <w:rPr>
          <w:rFonts w:ascii="Arial" w:cs="Arial" w:eastAsia="Arial" w:hAnsi="Arial"/>
          <w:sz w:val="24"/>
          <w:szCs w:val="24"/>
        </w:rPr>
        <w:t xml:space="preserve">- право на временное пользование, аренду или субаренду на срок до 3-х лет;</w:t>
      </w:r>
    </w:p>
    <w:p>
      <w:pPr>
        <w:spacing w:after="120"/>
        <w:jc w:val="both"/>
      </w:pPr>
      <w:r>
        <w:rPr>
          <w:rFonts w:ascii="Arial" w:cs="Arial" w:eastAsia="Arial" w:hAnsi="Arial"/>
          <w:sz w:val="24"/>
          <w:szCs w:val="24"/>
        </w:rPr>
        <w:t xml:space="preserve">- право фактических пользователей на преимущественное пользование недвижимым имуществом;</w:t>
      </w:r>
    </w:p>
    <w:p>
      <w:pPr>
        <w:spacing w:after="120"/>
        <w:jc w:val="both"/>
      </w:pPr>
      <w:r>
        <w:rPr>
          <w:rFonts w:ascii="Arial" w:cs="Arial" w:eastAsia="Arial" w:hAnsi="Arial"/>
          <w:sz w:val="24"/>
          <w:szCs w:val="24"/>
        </w:rPr>
        <w:t xml:space="preserve">- права налоговых органов;</w:t>
      </w:r>
    </w:p>
    <w:p>
      <w:pPr>
        <w:spacing w:after="120"/>
        <w:jc w:val="both"/>
      </w:pPr>
      <w:r>
        <w:rPr>
          <w:rFonts w:ascii="Arial" w:cs="Arial" w:eastAsia="Arial" w:hAnsi="Arial"/>
          <w:sz w:val="24"/>
          <w:szCs w:val="24"/>
        </w:rPr>
        <w:t xml:space="preserve">- ограничения, выступающие, как общие правила и запреты в отношении здравоохранения, общественной безопасности, охраны окружающей среды и др.</w:t>
      </w:r>
    </w:p>
    <w:p>
      <w:pPr>
        <w:spacing w:after="120"/>
        <w:jc w:val="both"/>
      </w:pPr>
      <w:r>
        <w:rPr>
          <w:rFonts w:ascii="Arial" w:cs="Arial" w:eastAsia="Arial" w:hAnsi="Arial"/>
          <w:b/>
          <w:bCs/>
          <w:sz w:val="24"/>
          <w:szCs w:val="24"/>
        </w:rPr>
        <w:t xml:space="preserve">5.1.7. Закон о порядке рассмотрения обращений граждан</w:t>
      </w:r>
    </w:p>
    <w:p>
      <w:pPr>
        <w:spacing w:after="120"/>
        <w:jc w:val="both"/>
      </w:pPr>
      <w:r>
        <w:rPr>
          <w:rFonts w:ascii="Arial" w:cs="Arial" w:eastAsia="Arial" w:hAnsi="Arial"/>
          <w:sz w:val="24"/>
          <w:szCs w:val="24"/>
        </w:rPr>
        <w:t xml:space="preserve">75. Закон Кыргызской Республики "О порядке рассмотрения обращений граждан" (23 марта 2007 года в последней редакции от 27 июля 2016 года № 151) предусматривает, что обращения граждан Кыргызской Республики должны быть зарегистрированы, должным образом учтены и рассмотрены на справедливой, своевременной и подотчетной основе (статьи 2 и 4). Обращение, зарегистрированное в госоргане или органах местного самоуправления, должно быть обработано в срок до 30-ти дней (статья 8). Для должного рассмотрения обращения, оно должно быть представлено в письменном виде с четким указанием ее сути и, при необходимости, подкреплена соответствующей документацией (статьи 4 и 5). Представленное обращение должно рассматриваться и разрешаться строго в соответствии с применимыми государственными законами и положениями (статья 11).</w:t>
      </w:r>
    </w:p>
    <w:p>
      <w:pPr>
        <w:spacing w:after="120"/>
        <w:jc w:val="both"/>
      </w:pPr>
      <w:r>
        <w:rPr>
          <w:rFonts w:ascii="Arial" w:cs="Arial" w:eastAsia="Arial" w:hAnsi="Arial"/>
          <w:b/>
          <w:bCs/>
          <w:sz w:val="24"/>
          <w:szCs w:val="24"/>
        </w:rPr>
        <w:t xml:space="preserve">5.1.8. Временные правила деятельности оценщиков и оценочных организаций и Стандарты оценки имущества</w:t>
      </w:r>
    </w:p>
    <w:p>
      <w:pPr>
        <w:spacing w:after="120"/>
        <w:jc w:val="both"/>
      </w:pPr>
      <w:r>
        <w:rPr>
          <w:rFonts w:ascii="Arial" w:cs="Arial" w:eastAsia="Arial" w:hAnsi="Arial"/>
          <w:sz w:val="24"/>
          <w:szCs w:val="24"/>
        </w:rPr>
        <w:t xml:space="preserve">76. Оценка активов основывается на Временных правилах деятельности оценщиков и оценочных организаций в Кыргызской Республике (Постановление Правительства № 537 от 21 августа 2003 года в крайней редакции от 3 декабря 2012 года, № 807), а также на стандартах оценки имущества, обязательно для всех субъектов оценочной деятельности Кыргызской Республики (Постановление Правительства № 217 от 3 апреля 2006 г. в крайней редакции от 15 ноября 2016 г.).</w:t>
      </w:r>
    </w:p>
    <w:p>
      <w:pPr>
        <w:spacing w:after="120"/>
        <w:jc w:val="both"/>
      </w:pPr>
      <w:r>
        <w:rPr>
          <w:rFonts w:ascii="Arial" w:cs="Arial" w:eastAsia="Arial" w:hAnsi="Arial"/>
          <w:sz w:val="24"/>
          <w:szCs w:val="24"/>
        </w:rPr>
        <w:t xml:space="preserve">77. Правительство Кыргызской Республики выпустило распоряжение в отношении ИЗП в рамках Фазы-4 проекта строительства дороги Бишкек-Ош и соответствующие приказы районных государственных администраций для Базар-Коргонского, Ноокенского и Сузакского районов о создании комиссий по ИЗП на районном уровне:</w:t>
      </w:r>
    </w:p>
    <w:p>
      <w:pPr>
        <w:spacing w:after="120"/>
        <w:jc w:val="both"/>
      </w:pPr>
      <w:r>
        <w:rPr>
          <w:rFonts w:ascii="Arial" w:cs="Arial" w:eastAsia="Arial" w:hAnsi="Arial"/>
          <w:sz w:val="24"/>
          <w:szCs w:val="24"/>
        </w:rPr>
        <w:t xml:space="preserve">- Распоряжение Правительства КР от 26 мая 2014 года № 182-р о приостановлении деятельности, связанной с приобретением земли, в проектном автомобильном коридоре. Данное Распоряжение представлено в Приложении 5.</w:t>
      </w:r>
    </w:p>
    <w:p>
      <w:pPr>
        <w:spacing w:after="120"/>
        <w:jc w:val="both"/>
      </w:pPr>
      <w:r>
        <w:rPr>
          <w:rFonts w:ascii="Arial" w:cs="Arial" w:eastAsia="Arial" w:hAnsi="Arial"/>
          <w:sz w:val="24"/>
          <w:szCs w:val="24"/>
        </w:rPr>
        <w:t xml:space="preserve">- Приказы об учреждении комиссий по ИЗП на районном уровне (Базаркоргонская государственная районная администрация № 16-б от 11 января 2018 года, Ноокенская государственная районная администрация № 174-б от 25 октября 2018 года и Сузакская государственная районная администрация № 267-б от 2 ноября 2018 года).</w:t>
      </w:r>
    </w:p>
    <w:p>
      <w:pPr>
        <w:spacing w:after="120"/>
        <w:jc w:val="both"/>
      </w:pPr>
      <w:r>
        <w:rPr>
          <w:rFonts w:ascii="Arial" w:cs="Arial" w:eastAsia="Arial" w:hAnsi="Arial"/>
          <w:sz w:val="24"/>
          <w:szCs w:val="24"/>
        </w:rPr>
        <w:t xml:space="preserve">78. Для реализации ПИЗП на различных участках проекта 12 февраля 2020 года МТИД издало два приказа: один - на утверждение МРЖ (Приказ № 46), а другой - на создание ГРЖ (Приказ № 45).</w:t>
      </w:r>
    </w:p>
    <w:p>
      <w:pPr>
        <w:spacing w:after="120"/>
        <w:jc w:val="both"/>
      </w:pPr>
      <w:r>
        <w:rPr>
          <w:rFonts w:ascii="Arial" w:cs="Arial" w:eastAsia="Arial" w:hAnsi="Arial"/>
          <w:b/>
          <w:bCs/>
          <w:sz w:val="24"/>
          <w:szCs w:val="24"/>
        </w:rPr>
        <w:t xml:space="preserve">5.2. Положение о политике по защитным мерам АБР/ЕАБР</w:t>
      </w:r>
    </w:p>
    <w:p>
      <w:pPr>
        <w:spacing w:after="120"/>
        <w:jc w:val="both"/>
      </w:pPr>
      <w:r>
        <w:rPr>
          <w:rFonts w:ascii="Arial" w:cs="Arial" w:eastAsia="Arial" w:hAnsi="Arial"/>
          <w:sz w:val="24"/>
          <w:szCs w:val="24"/>
        </w:rPr>
        <w:t xml:space="preserve">79. Для любой операции АБР, требующей вынужденного переселения, планирование переселения является неотъемлемой частью разработки проекта, которая должна рассматриваться на самых ранних этапах проектного цикла. В ППЗМ АБР (2009 г.) представлены рекомендации и требования в отношении планирования переселения, а также последующей его реализации.</w:t>
      </w:r>
    </w:p>
    <w:p>
      <w:pPr>
        <w:spacing w:after="120"/>
        <w:jc w:val="both"/>
      </w:pPr>
      <w:r>
        <w:rPr>
          <w:rFonts w:ascii="Arial" w:cs="Arial" w:eastAsia="Arial" w:hAnsi="Arial"/>
          <w:sz w:val="24"/>
          <w:szCs w:val="24"/>
        </w:rPr>
        <w:t xml:space="preserve">Основными целями защитных мер АБР в отношении вынужденного переселения являются:</w:t>
      </w:r>
    </w:p>
    <w:p>
      <w:pPr>
        <w:spacing w:after="120"/>
        <w:jc w:val="both"/>
      </w:pPr>
      <w:r>
        <w:rPr>
          <w:rFonts w:ascii="Arial" w:cs="Arial" w:eastAsia="Arial" w:hAnsi="Arial"/>
          <w:sz w:val="24"/>
          <w:szCs w:val="24"/>
        </w:rPr>
        <w:t xml:space="preserve">- предотвращение случаев вынужденного переселения везде, где это возможно;</w:t>
      </w:r>
    </w:p>
    <w:p>
      <w:pPr>
        <w:spacing w:after="120"/>
        <w:jc w:val="both"/>
      </w:pPr>
      <w:r>
        <w:rPr>
          <w:rFonts w:ascii="Arial" w:cs="Arial" w:eastAsia="Arial" w:hAnsi="Arial"/>
          <w:sz w:val="24"/>
          <w:szCs w:val="24"/>
        </w:rPr>
        <w:t xml:space="preserve">- минимизация случаев вынужденного переселения путем анализа альтернатив структуры и реализации проекта;</w:t>
      </w:r>
    </w:p>
    <w:p>
      <w:pPr>
        <w:spacing w:after="120"/>
        <w:jc w:val="both"/>
      </w:pPr>
      <w:r>
        <w:rPr>
          <w:rFonts w:ascii="Arial" w:cs="Arial" w:eastAsia="Arial" w:hAnsi="Arial"/>
          <w:sz w:val="24"/>
          <w:szCs w:val="24"/>
        </w:rPr>
        <w:t xml:space="preserve">- повышение уровня жизни или, по меньшей мере, его восстановление для всех перемещенных лиц до уровня, существовавшего до начала реализации проекта;</w:t>
      </w:r>
    </w:p>
    <w:p>
      <w:pPr>
        <w:spacing w:after="120"/>
        <w:jc w:val="both"/>
      </w:pPr>
      <w:r>
        <w:rPr>
          <w:rFonts w:ascii="Arial" w:cs="Arial" w:eastAsia="Arial" w:hAnsi="Arial"/>
          <w:sz w:val="24"/>
          <w:szCs w:val="24"/>
        </w:rPr>
        <w:t xml:space="preserve">- повышение уровня жизни неимущего населения среди перемещенных и других уязвимых групп лиц.</w:t>
      </w:r>
    </w:p>
    <w:p>
      <w:pPr>
        <w:spacing w:after="120"/>
        <w:jc w:val="both"/>
      </w:pPr>
      <w:r>
        <w:rPr>
          <w:rFonts w:ascii="Arial" w:cs="Arial" w:eastAsia="Arial" w:hAnsi="Arial"/>
          <w:sz w:val="24"/>
          <w:szCs w:val="24"/>
        </w:rPr>
        <w:t xml:space="preserve">Политика АБР в сфере вынужденного переселения включает три важных элемента:</w:t>
      </w:r>
    </w:p>
    <w:p>
      <w:pPr>
        <w:spacing w:after="120"/>
        <w:jc w:val="both"/>
      </w:pPr>
      <w:r>
        <w:rPr>
          <w:rFonts w:ascii="Arial" w:cs="Arial" w:eastAsia="Arial" w:hAnsi="Arial"/>
          <w:sz w:val="24"/>
          <w:szCs w:val="24"/>
        </w:rPr>
        <w:t xml:space="preserve">- компенсация, ориентированная на замену потерянных активов, средств к существованию и дохода;</w:t>
      </w:r>
    </w:p>
    <w:p>
      <w:pPr>
        <w:spacing w:after="120"/>
        <w:jc w:val="both"/>
      </w:pPr>
      <w:r>
        <w:rPr>
          <w:rFonts w:ascii="Arial" w:cs="Arial" w:eastAsia="Arial" w:hAnsi="Arial"/>
          <w:sz w:val="24"/>
          <w:szCs w:val="24"/>
        </w:rPr>
        <w:t xml:space="preserve">- помощь в переселении, включая предоставление мест переселения с наличием соответствующих объектов и услуг;</w:t>
      </w:r>
    </w:p>
    <w:p>
      <w:pPr>
        <w:spacing w:after="120"/>
        <w:jc w:val="both"/>
      </w:pPr>
      <w:r>
        <w:rPr>
          <w:rFonts w:ascii="Arial" w:cs="Arial" w:eastAsia="Arial" w:hAnsi="Arial"/>
          <w:sz w:val="24"/>
          <w:szCs w:val="24"/>
        </w:rPr>
        <w:t xml:space="preserve">- помощь в реабилитации с целью достижения, как минимум, такого же уровня благосостояния, которое было до реализации проекта.</w:t>
      </w:r>
    </w:p>
    <w:p>
      <w:pPr>
        <w:spacing w:after="120"/>
        <w:jc w:val="both"/>
      </w:pPr>
      <w:r>
        <w:rPr>
          <w:rFonts w:ascii="Arial" w:cs="Arial" w:eastAsia="Arial" w:hAnsi="Arial"/>
          <w:sz w:val="24"/>
          <w:szCs w:val="24"/>
        </w:rPr>
        <w:t xml:space="preserve">Принципы политики по вынужденному переселению:</w:t>
      </w:r>
    </w:p>
    <w:p>
      <w:pPr>
        <w:spacing w:after="120"/>
        <w:jc w:val="both"/>
      </w:pPr>
      <w:r>
        <w:rPr>
          <w:rFonts w:ascii="Arial" w:cs="Arial" w:eastAsia="Arial" w:hAnsi="Arial"/>
          <w:sz w:val="24"/>
          <w:szCs w:val="24"/>
        </w:rPr>
        <w:t xml:space="preserve">- Проводить проверку проекта максимально на ранних сроках для определения прошлых, настоящих или будущих воздействий и рисков вынужденного переселения. Определить масштабы планируемого переселения путем проведения переписи и/или опроса лиц, оказавшихся под воздействием, с учетом гендерного аспекта.</w:t>
      </w:r>
    </w:p>
    <w:p>
      <w:pPr>
        <w:spacing w:after="120"/>
        <w:jc w:val="both"/>
      </w:pPr>
      <w:r>
        <w:rPr>
          <w:rFonts w:ascii="Arial" w:cs="Arial" w:eastAsia="Arial" w:hAnsi="Arial"/>
          <w:sz w:val="24"/>
          <w:szCs w:val="24"/>
        </w:rPr>
        <w:t xml:space="preserve">- Проводить консультации с лицами, подвергшимися переселению, принимающими сообществами и соответствующими неправительственными организациями. Предоставить перемещенным лицам всю информацию об их правах, полагающихся выплатах и имеющихся вариантах переселения. Обеспечить их участие в ходе планирования, реализации, мониторинга и оценки программы по переселению. Уделять особое внимание нуждам уязвимых групп населения, в частности тем, кто живет ниже уровня бедности, безземельным, пожилым, женщинам и детям, коренным народам, а также тем, кто не обладает правом землевладения, и обеспечить участие этих лиц в процессе консультаций. Разработать механизм рассмотрения жалоб, поступающих от лиц, чьи интересы затрагиваются в ходе выполнения проекта. Оказывать необходимую поддержку общественным и культурным институтам переселенцев и принимающего населения. В тех случаях, когда последствия и риски, связанные с вынужденным переселением достаточно высоки и ощутимы, отдельная подготовительная фаза работы с общественностью должна предшествовать выплате компенсаций и принятию решений в пользу переселения.</w:t>
      </w:r>
    </w:p>
    <w:p>
      <w:pPr>
        <w:spacing w:after="120"/>
        <w:jc w:val="both"/>
      </w:pPr>
      <w:r>
        <w:rPr>
          <w:rFonts w:ascii="Arial" w:cs="Arial" w:eastAsia="Arial" w:hAnsi="Arial"/>
          <w:sz w:val="24"/>
          <w:szCs w:val="24"/>
        </w:rPr>
        <w:t xml:space="preserve">- Улучшить, или как минимум восстановить уровень жизни всех лиц, подвергшихся переселению, путем (а) переселения людей, для которых земля является основным источником средств к существованию, с предоставлением им земельных участков. А в случаях, когда это невозможно, возместить стоимость утраченной земли, если таковая утрата не имеет значительных отрицательных последствий для людей, (b) своевременной компенсации в размере полной стоимости утраченного имущества и обеспечения доступа к имуществу равноценной или более высокой стоимости, (с) своевременной компенсации в размере полной стоимости имущества, которое не подлежит восстановлению, и (d) по мере возможности, предоставления дополнительных доходов и услуг посредством схем распределения помощи и пособий.</w:t>
      </w:r>
    </w:p>
    <w:p>
      <w:pPr>
        <w:spacing w:after="120"/>
        <w:jc w:val="both"/>
      </w:pPr>
      <w:r>
        <w:rPr>
          <w:rFonts w:ascii="Arial" w:cs="Arial" w:eastAsia="Arial" w:hAnsi="Arial"/>
          <w:sz w:val="24"/>
          <w:szCs w:val="24"/>
        </w:rPr>
        <w:t xml:space="preserve">- Обеспечить необходимую поддержку физическим или экономическим переселенцев, в том числе (а) в случае переселения, закрепленное право владения землей, улучшенные жилищные условия с сопоставимым доступом к трудоустройству и производственным возможностям, экономическую и социальную интеграцию в новую среду, и распространение преимуществ от реализации проектов на принимающее население; (b) помощь в переходном периоде и поддержку в развитии, например, в виде освоения земли, предоставления кредитов, обучения или трудоустройства; и (с) доступ к общественной бытовой инфраструктуре.</w:t>
      </w:r>
    </w:p>
    <w:p>
      <w:pPr>
        <w:spacing w:after="120"/>
        <w:jc w:val="both"/>
      </w:pPr>
      <w:r>
        <w:rPr>
          <w:rFonts w:ascii="Arial" w:cs="Arial" w:eastAsia="Arial" w:hAnsi="Arial"/>
          <w:sz w:val="24"/>
          <w:szCs w:val="24"/>
        </w:rPr>
        <w:t xml:space="preserve">- Способствовать повышению уровня жизни малообеспеченных и иных уязвимых лиц, оказавшихся под воздействием проекта как минимум до национальных стандартов прожиточного минимума. В сельских регионах обеспечить их законной и доступной возможностью осваивать земли и ресурсы, а в городских регионах - соответствующими источниками доходов и законным и доступным жильем.</w:t>
      </w:r>
    </w:p>
    <w:p>
      <w:pPr>
        <w:spacing w:after="120"/>
        <w:jc w:val="both"/>
      </w:pPr>
      <w:r>
        <w:rPr>
          <w:rFonts w:ascii="Arial" w:cs="Arial" w:eastAsia="Arial" w:hAnsi="Arial"/>
          <w:sz w:val="24"/>
          <w:szCs w:val="24"/>
        </w:rPr>
        <w:t xml:space="preserve">- Если покупка земли осуществляется путем договорных отношений, разработать прозрачные, законные и справедливые процедуры для обеспечения равноценного или более высокого уровня дохода и жизни перемещенных лиц.</w:t>
      </w:r>
    </w:p>
    <w:p>
      <w:pPr>
        <w:spacing w:after="120"/>
        <w:jc w:val="both"/>
      </w:pPr>
      <w:r>
        <w:rPr>
          <w:rFonts w:ascii="Arial" w:cs="Arial" w:eastAsia="Arial" w:hAnsi="Arial"/>
          <w:sz w:val="24"/>
          <w:szCs w:val="24"/>
        </w:rPr>
        <w:t xml:space="preserve">- Предусмотреть для перемещенных лиц, не обладавших правом землевладения или иными признанными законными правами на землю, возможность получения помощи в переселении и компенсаций по утрате неземельного имущества.</w:t>
      </w:r>
    </w:p>
    <w:p>
      <w:pPr>
        <w:spacing w:after="120"/>
        <w:jc w:val="both"/>
      </w:pPr>
      <w:r>
        <w:rPr>
          <w:rFonts w:ascii="Arial" w:cs="Arial" w:eastAsia="Arial" w:hAnsi="Arial"/>
          <w:sz w:val="24"/>
          <w:szCs w:val="24"/>
        </w:rPr>
        <w:t xml:space="preserve">- Разработать план по переселению, включающий в себя полагающиеся выплаты, стратегию по восстановлению источников дохода и жизни, институциональные условия, требования к мониторингу и отчетности, бюджет и график исполнения с указанием сроков.</w:t>
      </w:r>
    </w:p>
    <w:p>
      <w:pPr>
        <w:spacing w:after="120"/>
        <w:jc w:val="both"/>
      </w:pPr>
      <w:r>
        <w:rPr>
          <w:rFonts w:ascii="Arial" w:cs="Arial" w:eastAsia="Arial" w:hAnsi="Arial"/>
          <w:sz w:val="24"/>
          <w:szCs w:val="24"/>
        </w:rPr>
        <w:t xml:space="preserve">- Своевременно до проведения оценки проекта обнародовать предварительный вариант плана по переселению, в том числе информацию о консультациях с общественностью, в доступном месте и форме, и на языке понятном для лиц и других иных сторон, чьи интересы затрагивает проект. Предоставить для ознакомления лицам и другим иным сторон, чьи интересы затрагивает проект, окончательный вариант плана по переселению и любые иные вновь обнаруженные сведения.</w:t>
      </w:r>
    </w:p>
    <w:p>
      <w:pPr>
        <w:spacing w:after="120"/>
        <w:jc w:val="both"/>
      </w:pPr>
      <w:r>
        <w:rPr>
          <w:rFonts w:ascii="Arial" w:cs="Arial" w:eastAsia="Arial" w:hAnsi="Arial"/>
          <w:sz w:val="24"/>
          <w:szCs w:val="24"/>
        </w:rPr>
        <w:t xml:space="preserve">- Разработать и осуществлять вынужденное переселение как часть программы или проекта по развитию. Отражать в презентации полную стоимость затрат, связанных с переселением, и преимуществ реализации проекта. Для проектов, предполагающих значительные масштабы последствий вынужденного переселения, разработать данные действия как отдельный специальный компонент проекта.</w:t>
      </w:r>
    </w:p>
    <w:p>
      <w:pPr>
        <w:spacing w:after="120"/>
        <w:jc w:val="both"/>
      </w:pPr>
      <w:r>
        <w:rPr>
          <w:rFonts w:ascii="Arial" w:cs="Arial" w:eastAsia="Arial" w:hAnsi="Arial"/>
          <w:sz w:val="24"/>
          <w:szCs w:val="24"/>
        </w:rPr>
        <w:t xml:space="preserve">- Обеспечить выплату компенсации и других полагающихся пособий до физического или экономического переселения. Разработать и придерживаться выполнения плана по переселению под строгим контролем в ходе всего срока реализации проекта.</w:t>
      </w:r>
    </w:p>
    <w:p>
      <w:pPr>
        <w:spacing w:after="120"/>
        <w:jc w:val="both"/>
      </w:pPr>
      <w:r>
        <w:rPr>
          <w:rFonts w:ascii="Arial" w:cs="Arial" w:eastAsia="Arial" w:hAnsi="Arial"/>
          <w:sz w:val="24"/>
          <w:szCs w:val="24"/>
        </w:rPr>
        <w:t xml:space="preserve">- Проводить мониторинг и оценку результатов переселения, в том числе его последствий, сказавшихся тем или иным образом на уровне жизни перемещенных лиц, а также прогресса в достижении целей плана по переселению с учетом данных об исходных условиях проживания и результатов мониторинга. Предоставлять для ознакомления общественности отчет о проведении мониторинга.</w:t>
      </w:r>
    </w:p>
    <w:p>
      <w:pPr>
        <w:spacing w:after="120"/>
        <w:jc w:val="both"/>
      </w:pPr>
      <w:r>
        <w:rPr>
          <w:rFonts w:ascii="Arial" w:cs="Arial" w:eastAsia="Arial" w:hAnsi="Arial"/>
          <w:sz w:val="24"/>
          <w:szCs w:val="24"/>
        </w:rPr>
        <w:t xml:space="preserve">80. В ППЗМ АБР (2009 г.) выделяются три категории затрагиваемых лиц (ПД) или перемещенных лиц с различными потребностями в компенсации:</w:t>
      </w:r>
    </w:p>
    <w:p>
      <w:pPr>
        <w:spacing w:after="120"/>
        <w:jc w:val="both"/>
      </w:pPr>
      <w:r>
        <w:rPr>
          <w:rFonts w:ascii="Arial" w:cs="Arial" w:eastAsia="Arial" w:hAnsi="Arial"/>
          <w:sz w:val="24"/>
          <w:szCs w:val="24"/>
        </w:rPr>
        <w:t xml:space="preserve">- ЗЛ с официальными правами: ЗЛ с официальными юридическими правами на землю, потерянную полностью или частично;</w:t>
      </w:r>
    </w:p>
    <w:p>
      <w:pPr>
        <w:spacing w:after="120"/>
        <w:jc w:val="both"/>
      </w:pPr>
      <w:r>
        <w:rPr>
          <w:rFonts w:ascii="Arial" w:cs="Arial" w:eastAsia="Arial" w:hAnsi="Arial"/>
          <w:sz w:val="24"/>
          <w:szCs w:val="24"/>
        </w:rPr>
        <w:t xml:space="preserve">- ЗЛ с полуофициальными правами: ЗЛ без официальных законных прав на землю, потерянную полностью или частично, но имеющие притязания на такие земли, которые признаны или могут быть признаны в соответствии с национальным законодательством; а также</w:t>
      </w:r>
    </w:p>
    <w:p>
      <w:pPr>
        <w:spacing w:after="120"/>
        <w:jc w:val="both"/>
      </w:pPr>
      <w:r>
        <w:rPr>
          <w:rFonts w:ascii="Arial" w:cs="Arial" w:eastAsia="Arial" w:hAnsi="Arial"/>
          <w:sz w:val="24"/>
          <w:szCs w:val="24"/>
        </w:rPr>
        <w:t xml:space="preserve">- ЗЛ с неофициальными правами: ЗЛ, которые не имеют ни формальных юридических прав, ни признаваемых притязаний на землю, потерянную полностью или частично.</w:t>
      </w:r>
    </w:p>
    <w:p>
      <w:pPr>
        <w:spacing w:after="120"/>
        <w:jc w:val="both"/>
      </w:pPr>
      <w:r>
        <w:rPr>
          <w:rFonts w:ascii="Arial" w:cs="Arial" w:eastAsia="Arial" w:hAnsi="Arial"/>
          <w:sz w:val="24"/>
          <w:szCs w:val="24"/>
        </w:rPr>
        <w:t xml:space="preserve">81. Лицам вышеупомянутых категорий (i) и (ii) заемщики должны предоставить компенсацию с учетом полной восстановительной стоимости утерянной земли, сооружений, мелиорации земли, а также помощь в переселении. Предполагается, что для ЗЛ категории (iii) (неформальные поселенцы) заемщик/клиент возместит все активы, кроме земли (то есть здания, деревья, урожай, предприятия) с учетом полной восстановительной стоимости. Риск возможного правопритязания на землю, подлежащую изъятию в рамках проекта, регулируется на основе срока прекращения действия права на компенсацию.</w:t>
      </w:r>
    </w:p>
    <w:p>
      <w:pPr>
        <w:spacing w:after="120"/>
        <w:jc w:val="both"/>
      </w:pPr>
      <w:r>
        <w:rPr>
          <w:rFonts w:ascii="Arial" w:cs="Arial" w:eastAsia="Arial" w:hAnsi="Arial"/>
          <w:sz w:val="24"/>
          <w:szCs w:val="24"/>
        </w:rPr>
        <w:t xml:space="preserve">82. Компенсация за утраченные земли может выражаться в виде предоставления другого участка взамен указанного (предпочтительный вариант) или наличными средствами. В тех случаях, когда компенсация "земля в обмен на землю" является практический неосуществимой, предоставляется денежная компенсация, размер которой, как правило, устанавливается на основе рыночных ставок или, в отсутствие рынков земли, посредством других методов (например, производительность угодий или восстановительная стоимость). Независимо от используемого метода оценки компенсация должна предоставляться с учетом полной восстановительной стоимости, включая: (i) косвенные издержки (ii) начисленные проценты, (iii) расходы на переходный период и восстановление, а также (iv) другие применимые платежи, если таковые имеются. Компенсация по всем остальным активам должна предоставляться наличными с учетом восстановительной стоимости без вычетов за амортизацию, спасенные материалы и косвенные издержки.</w:t>
      </w:r>
    </w:p>
    <w:p>
      <w:pPr>
        <w:spacing w:after="120"/>
        <w:jc w:val="both"/>
      </w:pPr>
      <w:r>
        <w:rPr>
          <w:rFonts w:ascii="Arial" w:cs="Arial" w:eastAsia="Arial" w:hAnsi="Arial"/>
          <w:b/>
          <w:bCs/>
          <w:sz w:val="24"/>
          <w:szCs w:val="24"/>
        </w:rPr>
        <w:t xml:space="preserve">5.3. Устранение разногласий между требованиями ППЗМ АБР (2009 г.) и законодательства Кыргызской Республики</w:t>
      </w:r>
    </w:p>
    <w:p>
      <w:pPr>
        <w:spacing w:after="120"/>
        <w:jc w:val="both"/>
      </w:pPr>
      <w:r>
        <w:rPr>
          <w:rFonts w:ascii="Arial" w:cs="Arial" w:eastAsia="Arial" w:hAnsi="Arial"/>
          <w:sz w:val="24"/>
          <w:szCs w:val="24"/>
        </w:rPr>
        <w:t xml:space="preserve">83. В Таблице 5.1 представлены расхождения между политическими требованиями ППЗМ АБР (2009 г.) и законами и нормативными актами Кыргызской Республики, а также практикой проектов, финансируемых АБР. Кроме того, описаны меры по устранению данных разногласий в рамках настоящего ПИЗП. Данная таблица демонстрирует, что:</w:t>
      </w:r>
    </w:p>
    <w:p>
      <w:pPr>
        <w:spacing w:after="120"/>
        <w:jc w:val="both"/>
      </w:pPr>
      <w:r>
        <w:rPr>
          <w:rFonts w:ascii="Arial" w:cs="Arial" w:eastAsia="Arial" w:hAnsi="Arial"/>
          <w:sz w:val="24"/>
          <w:szCs w:val="24"/>
        </w:rPr>
        <w:t xml:space="preserve">- некоторые расхождения существуют, но практические меры по их урегулированию применяются в отношении проектов, финансируемых АБР, с 2011 года, включая проекты в секторе автомобильного транспорта; а также</w:t>
      </w:r>
    </w:p>
    <w:p>
      <w:pPr>
        <w:spacing w:after="120"/>
        <w:jc w:val="both"/>
      </w:pPr>
      <w:r>
        <w:rPr>
          <w:rFonts w:ascii="Arial" w:cs="Arial" w:eastAsia="Arial" w:hAnsi="Arial"/>
          <w:sz w:val="24"/>
          <w:szCs w:val="24"/>
        </w:rPr>
        <w:t xml:space="preserve">- настоящий ПИЗП включает в себя различные меры устранения расхождений.</w:t>
      </w:r>
    </w:p>
    <w:p>
      <w:pPr>
        <w:spacing w:after="120"/>
        <w:jc w:val="both"/>
      </w:pPr>
      <w:r>
        <w:rPr>
          <w:rFonts w:ascii="Arial" w:cs="Arial" w:eastAsia="Arial" w:hAnsi="Arial"/>
          <w:b/>
          <w:bCs/>
          <w:sz w:val="24"/>
          <w:szCs w:val="24"/>
        </w:rPr>
        <w:t xml:space="preserve">Таблица</w:t>
      </w:r>
      <w:r>
        <w:rPr>
          <w:rFonts w:ascii="Arial" w:cs="Arial" w:eastAsia="Arial" w:hAnsi="Arial"/>
          <w:sz w:val="24"/>
          <w:szCs w:val="24"/>
        </w:rPr>
        <w:t xml:space="preserve"> </w:t>
      </w:r>
      <w:r>
        <w:rPr>
          <w:rFonts w:ascii="Arial" w:cs="Arial" w:eastAsia="Arial" w:hAnsi="Arial"/>
          <w:b/>
          <w:bCs/>
          <w:sz w:val="24"/>
          <w:szCs w:val="24"/>
        </w:rPr>
        <w:t xml:space="preserve">5.1: Расхождения ППЗМ АБР и требований законодательства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9"/>
        <w:gridCol w:w="2072"/>
        <w:gridCol w:w="2072"/>
        <w:gridCol w:w="1535"/>
        <w:gridCol w:w="2021"/>
      </w:tblGrid>
      <w:tr>
        <w:tc>
          <w:tcPr>
            <w:tcW w:type="dxa" w:w="24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воздействие/проблема</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ППЗМ АБР (2009)</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Кыргызского законодательства и практики к проектам, финансируемым АКР</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Комментарии</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устранению</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Планирование и документация по ИЗП</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проект, финансируемый АБР, оказывает воздействие на ИЗП, необходимо подготовить ПИЗП, который должен основываться на ДЗИ, СЭИ, консультациях и оценках и т.д.</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подготовлена соответствующая документация о воздействии и оценке, но такая документация не соответствует формату ПИЗП</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данный ПИЗП, основанный на ДЗИ, СЭИ, КИУ и независимой оценке</w:t>
            </w:r>
          </w:p>
        </w:tc>
      </w:tr>
      <w:tr>
        <w:tc>
          <w:tcPr>
            <w:tcW w:type="dxa" w:w="24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права и компенсации</w:t>
            </w:r>
          </w:p>
        </w:tc>
        <w:tc>
          <w:tcPr>
            <w:tcW w:type="dxa" w:w="20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оформленными правами собственности: компенсация за потерянные земельные и неземельные активы с учетом полной восстановительной или рыночной стоимости, а также компенсация за сооружения без амортизации и спасенных материалов, может быть получена собственником без затрат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земли: компенсация по восстановительной стоимости или предоставление другого участка или с учетом рыночной стоимости</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разногласий</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компенсация, но амортизация учитывается, а также нет указаний относительно спасенных материалов</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с учетом полной восстановительной стоимости без амортизации и указания на вывоз спасенных материалов включены в настоящий ПИЗП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и деревья: обязательно, но применяется выборочно</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по оцененным ценам в настоящем ПИЗП</w:t>
            </w:r>
          </w:p>
        </w:tc>
      </w:tr>
      <w:tr>
        <w:tc>
          <w:tcPr>
            <w:vMerge w:val="continue"/>
            <w:tcBorders>
              <w:top w:val="none" w:color="auto" w:sz="0"/>
              <w:left w:val="single" w:color="CBBF9E" w:sz="4"/>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правами, требующими оформления: компенсация за потерянные земельные и неземельные активы с учетом полной восстановительной или рыночной стоимости, однако ИА должно помочь им в легализации их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правами, требующими оформления: легализация не рассматривается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Легализация прав, требующих оформления, осуществляется Госрегистром Ноокенского, Базар-Коргонского и Сузакского районов в ходе реализации ПИЗП, если данный процесс имеет место быть</w:t>
            </w:r>
          </w:p>
        </w:tc>
      </w:tr>
      <w:tr>
        <w:tc>
          <w:tcPr>
            <w:vMerge w:val="continue"/>
            <w:tcBorders>
              <w:top w:val="none" w:color="auto" w:sz="0"/>
              <w:left w:val="single" w:color="CBBF9E" w:sz="4"/>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без прав собственности: компенсация предусмотрена в отношении утраченных неземельных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Нелегальные ЗЛ не имеют права на компенсацию ни в отношении земельных активов, ни в отношении неземельных</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Утерянные активы, кроме земли, будут компенсированы по оценочной стоимости замещения или по рыночной стоимости в рамках данного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фактических убытков плюс затраты на восстановление бизнеса. Подача заявления на основании декларируемого налога за период прекращения бизнеса. При отсутствии налоговой декларации исходя из максимальной необлагаемой заработной платы</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по рыночной стоимости за все убытки/возможные издержки. Обязанность за подтверждение альтернативных издержек несет ЗЛ, на основе признанных судом/документированных доказательств, но четкая методология отсутствует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убытков осуществляется независимым оценщиком; Компенсация за приостановление бизнеса и помощь в реабилитации включена в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Обнародование информации</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связанные с переселением, должны быть своевременно предоставлены на языке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в отношении обнародования информации отсутствуют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ИБП ПИЗП на кыргызском языке были распространены среди ЗДХ. ИБП будут распространены после утверждения окончательного ПИЗП Правительством КР. Окончательный ПИЗП на кыргызском и русском языках будет обнародован в населенных пунктах, попавших под воздействие проекта, и различных государственных учреждениях. Окончательный ПИЗП на английском, русском и кыргызском языках будет опубликован на сайтах ЕФСР и МТИД КР</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слушания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Значимые общественные слушания должны быть проведены с ЗЛ. ЗЛ должны быть проинформированы о своих правах и возможностях, а также об альтернативах переселения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местного значения должны публично обсуждаться с местными властями. Но требование о необходимости проведения слушаний среди ЗЛ отсутствует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общественные слушания проводились в затронутых селах в процессе подготовки этого ПИЗП. Проведено большое количество неформальных слушаний</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МРЖ должен быть создан для каждого проекта. Информация о МРЖ должна быть предоставлена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государственное агентство/министерство должно определить процесс регистрации и рассмотрения проблем и претензий граждан в соответствии с законодательством КР</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хорошо структурированный МРЖ и включен в ПИЗП.
 ГРЖ были созданы в феврале 2020 года</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ПИЗП подлежит мониторингу с обнародованием отчетов о мониторинге</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планируется в рамках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изъятия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может быть изъята только после полной компенсации, выплаченной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может быть изъята только после полной компенсации, выплаченной ЗЛ</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разногласий</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подрядчиков о продолжении строительных работ в затронутых ИЗП сегментах не может быть дано до тех пор, пока АБР не утвердит отчет о реализации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Помощь уязвимым ЗЛ и лицам, подвергнутым сильному воздействию</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ЗЛ должны быть установлены, и им должна быть оказана специальная помощь для восстановления/повышения уровня жизни до предпроектного уровня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соображения в отношении указанных ЗЛ отсутствуют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помощи включены в ПИЗП</w:t>
            </w:r>
          </w:p>
        </w:tc>
      </w:tr>
    </w:tbl>
    <w:p>
      <w:pPr>
        <w:spacing w:after="120"/>
        <w:jc w:val="both"/>
      </w:pPr>
      <w:r>
        <w:rPr>
          <w:rFonts w:ascii="Arial" w:cs="Arial" w:eastAsia="Arial" w:hAnsi="Arial"/>
          <w:sz w:val="24"/>
          <w:szCs w:val="24"/>
        </w:rPr>
        <w:t xml:space="preserve">ЕФСР = Евразийский фонд стабилизации и развития; ДЗИ = детальные замеры имущества; ЗЛ = затронутые лица; КИУ = консультации и участие; МРЖ = механизм рассмотрения жалоб; КР = Кыргызская Республика; ИЗП = изъятия земли и переселение; ПИЗП = план переселения и приобретения земли; МТИД КР = Министерство транспорта и автомобильных дорог КР; ИБП = информационная брошюра о переселении; ИБПП = информационная брошюра по планированию переселения; СЭИ = социально-экономическое исследование; ППЗМ = положение о политике по защитным мерам.</w:t>
      </w:r>
    </w:p>
    <w:p>
      <w:pPr>
        <w:spacing w:after="120"/>
        <w:jc w:val="both"/>
      </w:pPr>
      <w:r>
        <w:rPr>
          <w:rFonts w:ascii="Arial" w:cs="Arial" w:eastAsia="Arial" w:hAnsi="Arial"/>
          <w:b/>
          <w:bCs/>
          <w:sz w:val="24"/>
          <w:szCs w:val="24"/>
        </w:rPr>
        <w:t xml:space="preserve">5.4. Допустимость компенсации и права на ее получение, дополнительные выплаты</w:t>
      </w:r>
    </w:p>
    <w:p>
      <w:pPr>
        <w:spacing w:after="120"/>
        <w:jc w:val="both"/>
      </w:pPr>
      <w:r>
        <w:rPr>
          <w:rFonts w:ascii="Arial" w:cs="Arial" w:eastAsia="Arial" w:hAnsi="Arial"/>
          <w:sz w:val="24"/>
          <w:szCs w:val="24"/>
        </w:rPr>
        <w:t xml:space="preserve">84. Реализация мероприятий по ИЗП связана с реализацией инвестиционной составляющей проекта, обеспечивая, чтобы переселение или ограничение доступа не произошло до того, как будут приняты необходимые меры по ИЗП, указанные в настоящем ПИЗП.</w:t>
      </w:r>
    </w:p>
    <w:p>
      <w:pPr>
        <w:spacing w:after="120"/>
        <w:jc w:val="both"/>
      </w:pPr>
      <w:r>
        <w:rPr>
          <w:rFonts w:ascii="Arial" w:cs="Arial" w:eastAsia="Arial" w:hAnsi="Arial"/>
          <w:sz w:val="24"/>
          <w:szCs w:val="24"/>
        </w:rPr>
        <w:t xml:space="preserve">85. Согласно ППЗМ АБР (2009 г.) и настоящему ПИЗП, все воздействия по ИЗП, выявленные в ходе ДЗИ, должны быть соответствующим образом учтены, а это означает, что всем лицам, подпадающим под воздействие проекта и выявленным в ходе ДЗИ, будут предоставлены соответствующие компенсации и/или помощь до их переселения. В частности, изъятие земли и относящихся к ней активов может иметь место только после выплаты компенсации и, где это применимо, после предоставления места для переселения и помощи переехавшим лицам.</w:t>
      </w:r>
    </w:p>
    <w:p>
      <w:pPr>
        <w:spacing w:after="120"/>
        <w:jc w:val="both"/>
      </w:pPr>
      <w:r>
        <w:rPr>
          <w:rFonts w:ascii="Arial" w:cs="Arial" w:eastAsia="Arial" w:hAnsi="Arial"/>
          <w:sz w:val="24"/>
          <w:szCs w:val="24"/>
        </w:rPr>
        <w:t xml:space="preserve">5.4.1. Допустимость компенсации</w:t>
      </w:r>
    </w:p>
    <w:p>
      <w:pPr>
        <w:spacing w:after="120"/>
        <w:jc w:val="both"/>
      </w:pPr>
      <w:r>
        <w:rPr>
          <w:rFonts w:ascii="Arial" w:cs="Arial" w:eastAsia="Arial" w:hAnsi="Arial"/>
          <w:sz w:val="24"/>
          <w:szCs w:val="24"/>
        </w:rPr>
        <w:t xml:space="preserve">86. Право на компенсацию определяется крайним сроком, установленным на 31 августа 2019 года, когда были завершены ДЗИ затронутой проектом земли и недвижимости.</w:t>
      </w:r>
    </w:p>
    <w:p>
      <w:pPr>
        <w:spacing w:after="120"/>
        <w:jc w:val="both"/>
      </w:pPr>
      <w:r>
        <w:rPr>
          <w:rFonts w:ascii="Arial" w:cs="Arial" w:eastAsia="Arial" w:hAnsi="Arial"/>
          <w:sz w:val="24"/>
          <w:szCs w:val="24"/>
        </w:rPr>
        <w:t xml:space="preserve">87. К затронутым проектом домохозяйствам (ЗДХ), имеющим право на компенсацию и помощь ввиду ИЗП в рамках данного ПИЗП, относятся ДХ, установленные в ходе ДЗИ, в том числе:</w:t>
      </w:r>
    </w:p>
    <w:p>
      <w:pPr>
        <w:spacing w:after="120"/>
        <w:jc w:val="both"/>
      </w:pPr>
      <w:r>
        <w:rPr>
          <w:rFonts w:ascii="Arial" w:cs="Arial" w:eastAsia="Arial" w:hAnsi="Arial"/>
          <w:sz w:val="24"/>
          <w:szCs w:val="24"/>
        </w:rPr>
        <w:t xml:space="preserve">- ДХ, потерявшие свои законные земли сельско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хозяйственного назначения и под жилую застройку, а также связанные с ними неземельные активы и предприятия, если таковые имеются. К неземельным активам относятся здания, сооружения, деревья, кусты, сельскохозяйственные культуры и т.д.</w:t>
      </w:r>
    </w:p>
    <w:p>
      <w:pPr>
        <w:spacing w:after="120"/>
        <w:jc w:val="both"/>
      </w:pPr>
      <w:r>
        <w:rPr>
          <w:rFonts w:ascii="Arial" w:cs="Arial" w:eastAsia="Arial" w:hAnsi="Arial"/>
          <w:sz w:val="24"/>
          <w:szCs w:val="24"/>
        </w:rPr>
        <w:t xml:space="preserve">- ДХ, потерявшие неземельные активы, включая бизнес, расположенный на муниципальной земле и полосе отвода (ПО) проектной дороги(4).</w:t>
      </w:r>
    </w:p>
    <w:p>
      <w:pPr>
        <w:spacing w:after="120"/>
        <w:jc w:val="both"/>
      </w:pPr>
      <w:r>
        <w:rPr>
          <w:rFonts w:ascii="Arial" w:cs="Arial" w:eastAsia="Arial" w:hAnsi="Arial"/>
          <w:sz w:val="24"/>
          <w:szCs w:val="24"/>
        </w:rPr>
        <w:t xml:space="preserve">88. К домохозяйствам, попавшим под сильное воздействие проекта (ДХСВП), относятся ДХ, в которых было затронуто более 10% сельскохозяйственных земель или земель под жилую застройку или же которые потеряли более 10% дохода, а также ДХ, которым потребовалось физическое перемещение из своего места расположения. ДХ, столкнувшиеся с потерей дохода из-за постоянной или временной остановки бизнеса, будут иметь право на помощь в реабилитации в рамках данного ПИЗП.</w:t>
      </w:r>
    </w:p>
    <w:p>
      <w:pPr>
        <w:spacing w:after="120"/>
        <w:jc w:val="both"/>
      </w:pPr>
      <w:r>
        <w:rPr>
          <w:rFonts w:ascii="Arial" w:cs="Arial" w:eastAsia="Arial" w:hAnsi="Arial"/>
          <w:sz w:val="24"/>
          <w:szCs w:val="24"/>
        </w:rPr>
        <w:t xml:space="preserve">89. Уязвимые домохозяйства, попавшие вод воздействие проекта (УДХВП), также имеют право на специальную помощь в рамках данного ПИЗП. Уязвимые домохозяйства - это те ДХ, которые могли пострадать несоразмерно или подвергнуться риску быть оттесненными в результате воздействий ИЗП. Уязвимые домохозяйства включают в себя: (i) домохозяйства, возглавляемые женщинами, имеющими иждивенцев; (ii) ДХ с наличием членов семьи с ограниченными возможностями; (iii) ДХ за чертой бедности; (iv) домохозяйства, получающие государственные пособия.</w:t>
      </w:r>
    </w:p>
    <w:p>
      <w:pPr>
        <w:spacing w:after="120"/>
        <w:jc w:val="both"/>
      </w:pPr>
      <w:r>
        <w:rPr>
          <w:rFonts w:ascii="Arial" w:cs="Arial" w:eastAsia="Arial" w:hAnsi="Arial"/>
          <w:sz w:val="24"/>
          <w:szCs w:val="24"/>
        </w:rPr>
        <w:t xml:space="preserve">90. ЗЛ, не установленные во время ДЗИ, но обнаруженные в процессе реализации этого ПИЗП или во время фазы строительства проекта, также имеют право на компенсацию и помощь в рамках и в соответствии с требованиями ПИЗП.</w:t>
      </w:r>
    </w:p>
    <w:p>
      <w:pPr>
        <w:spacing w:after="120"/>
        <w:jc w:val="both"/>
      </w:pPr>
      <w:r>
        <w:rPr>
          <w:rFonts w:ascii="Arial" w:cs="Arial" w:eastAsia="Arial" w:hAnsi="Arial"/>
          <w:b/>
          <w:bCs/>
          <w:sz w:val="24"/>
          <w:szCs w:val="24"/>
        </w:rPr>
        <w:t xml:space="preserve">5.4.2. Права на получение компенсации</w:t>
      </w:r>
    </w:p>
    <w:p>
      <w:pPr>
        <w:spacing w:after="120"/>
        <w:jc w:val="both"/>
      </w:pPr>
      <w:r>
        <w:rPr>
          <w:rFonts w:ascii="Arial" w:cs="Arial" w:eastAsia="Arial" w:hAnsi="Arial"/>
          <w:sz w:val="24"/>
          <w:szCs w:val="24"/>
        </w:rPr>
        <w:t xml:space="preserve">91. На домохозяйства, подпавшие под воздействие ИЗП на данном участке дороги и сталкивающиеся с потерей земли, неземельных активов и прекращением бизнеса, распространяются следующие права на получение компенсации:</w:t>
      </w:r>
    </w:p>
    <w:p>
      <w:pPr>
        <w:spacing w:after="120"/>
        <w:jc w:val="both"/>
      </w:pPr>
      <w:r>
        <w:rPr>
          <w:rFonts w:ascii="Arial" w:cs="Arial" w:eastAsia="Arial" w:hAnsi="Arial"/>
          <w:sz w:val="24"/>
          <w:szCs w:val="24"/>
        </w:rPr>
        <w:t xml:space="preserve">- Потеря законных сельскохозяйственных земель и земель под жилую застройку: денежные компенсации владельцам по местным рыночным ценам, включая затраты на перерегистрацию оставшихся земельных участков вместе с относящимися к ним зданиями (где применимо). Расходы на перерегистрацию включают: а) регистрацию прав собственника; b) технический паспорт; с) правоустанавливающий документ; и d) документ на право приобретения имущества.</w:t>
      </w:r>
    </w:p>
    <w:p>
      <w:pPr>
        <w:spacing w:after="120"/>
        <w:jc w:val="both"/>
      </w:pPr>
      <w:r>
        <w:rPr>
          <w:rFonts w:ascii="Arial" w:cs="Arial" w:eastAsia="Arial" w:hAnsi="Arial"/>
          <w:sz w:val="24"/>
          <w:szCs w:val="24"/>
        </w:rPr>
        <w:t xml:space="preserve">- Утрата жилого дома, несъемных зданий и сооружений (капитальных или основных средств): денежные компенсации владельцам с учетом полной стоимости замены без каких-либо вычетов на амортизацию, спасенные материалы или операционные расходы независимо от статуса регистрации.</w:t>
      </w:r>
    </w:p>
    <w:p>
      <w:pPr>
        <w:spacing w:after="120"/>
        <w:jc w:val="both"/>
      </w:pPr>
      <w:r>
        <w:rPr>
          <w:rFonts w:ascii="Arial" w:cs="Arial" w:eastAsia="Arial" w:hAnsi="Arial"/>
          <w:sz w:val="24"/>
          <w:szCs w:val="24"/>
        </w:rPr>
        <w:t xml:space="preserve">- Потеря продуктивных деревьев и кустарников: а) компенсация владельцам за продуктивные деревья/кустарники с учетом чистого годового урожая с деревьев/кустарников за количество лет, затраченных на замену деревьев/кустарников для достижения сопоставимой производительности; b) владельцам дополнительно предоставляются саженцы за каждое потерянное дерево/куст по эквивалентной стоимости наличными.</w:t>
      </w:r>
    </w:p>
    <w:p>
      <w:pPr>
        <w:spacing w:after="120"/>
        <w:jc w:val="both"/>
      </w:pPr>
      <w:r>
        <w:rPr>
          <w:rFonts w:ascii="Arial" w:cs="Arial" w:eastAsia="Arial" w:hAnsi="Arial"/>
          <w:sz w:val="24"/>
          <w:szCs w:val="24"/>
        </w:rPr>
        <w:t xml:space="preserve">- Потеря непродуктивных деревьев: денежные компенсации владельцам с учетом объема древесины и цен на местном рынке без вычета стоимости древесины, оставленной владельцам.</w:t>
      </w:r>
    </w:p>
    <w:p>
      <w:pPr>
        <w:spacing w:after="120"/>
        <w:jc w:val="both"/>
      </w:pPr>
      <w:r>
        <w:rPr>
          <w:rFonts w:ascii="Arial" w:cs="Arial" w:eastAsia="Arial" w:hAnsi="Arial"/>
          <w:sz w:val="24"/>
          <w:szCs w:val="24"/>
        </w:rPr>
        <w:t xml:space="preserve">- Потеря саженцев и декоративных деревьев: денежная компенсация владельцам по местным рыночным ценам.</w:t>
      </w:r>
    </w:p>
    <w:p>
      <w:pPr>
        <w:spacing w:after="120"/>
        <w:jc w:val="both"/>
      </w:pPr>
      <w:r>
        <w:rPr>
          <w:rFonts w:ascii="Arial" w:cs="Arial" w:eastAsia="Arial" w:hAnsi="Arial"/>
          <w:sz w:val="24"/>
          <w:szCs w:val="24"/>
        </w:rPr>
        <w:t xml:space="preserve">- Потеря урожая: денежные компенсации владельцам сельскохозяйственных культур (т.е. землепользователям), эквивалентные среднегодовому урожаю за один год, независимо от прав на землепользование.</w:t>
      </w:r>
    </w:p>
    <w:p>
      <w:pPr>
        <w:spacing w:after="120"/>
        <w:jc w:val="both"/>
      </w:pPr>
      <w:r>
        <w:rPr>
          <w:rFonts w:ascii="Arial" w:cs="Arial" w:eastAsia="Arial" w:hAnsi="Arial"/>
          <w:sz w:val="24"/>
          <w:szCs w:val="24"/>
        </w:rPr>
        <w:t xml:space="preserve">- Временный простой в коммерческой деятельности: компенсация владельцам за один месяц подтвержденного или оцененного дохода за срыв деятельности и восстановление временно затронутых активов.</w:t>
      </w:r>
    </w:p>
    <w:p>
      <w:pPr>
        <w:spacing w:after="120"/>
        <w:jc w:val="both"/>
      </w:pPr>
      <w:r>
        <w:rPr>
          <w:rFonts w:ascii="Arial" w:cs="Arial" w:eastAsia="Arial" w:hAnsi="Arial"/>
          <w:sz w:val="24"/>
          <w:szCs w:val="24"/>
        </w:rPr>
        <w:t xml:space="preserve">- Прекращение бизнеса на постоянной основе: компенсация владельцам за 6 месяцев подтвержденного/оцененного чистого дохода.</w:t>
      </w:r>
    </w:p>
    <w:p>
      <w:pPr>
        <w:spacing w:after="120"/>
        <w:jc w:val="both"/>
      </w:pPr>
      <w:r>
        <w:rPr>
          <w:rFonts w:ascii="Arial" w:cs="Arial" w:eastAsia="Arial" w:hAnsi="Arial"/>
          <w:sz w:val="24"/>
          <w:szCs w:val="24"/>
        </w:rPr>
        <w:t xml:space="preserve">- Перемещение съемных конструкций: владельцам компенсация не выплачивается, но подрядчик должен оказать помощь владельцам в перемещении затронутых сооружений в присутствии местного координатора, чтобы избежать повреждения затронутых активов.</w:t>
      </w:r>
    </w:p>
    <w:p>
      <w:pPr>
        <w:spacing w:after="120"/>
        <w:jc w:val="both"/>
      </w:pPr>
      <w:r>
        <w:rPr>
          <w:rFonts w:ascii="Arial" w:cs="Arial" w:eastAsia="Arial" w:hAnsi="Arial"/>
          <w:sz w:val="24"/>
          <w:szCs w:val="24"/>
        </w:rPr>
        <w:t xml:space="preserve">92. Все компенсации будут основываться на результатах независимой оценки, в то время как сама оценка соответствует принципам ИЗП и вышеуказанным выплатам.</w:t>
      </w:r>
    </w:p>
    <w:p>
      <w:pPr>
        <w:spacing w:after="120"/>
        <w:jc w:val="both"/>
      </w:pPr>
      <w:r>
        <w:rPr>
          <w:rFonts w:ascii="Arial" w:cs="Arial" w:eastAsia="Arial" w:hAnsi="Arial"/>
          <w:b/>
          <w:bCs/>
          <w:sz w:val="24"/>
          <w:szCs w:val="24"/>
        </w:rPr>
        <w:t xml:space="preserve">5.4.3. Предоставление дополнительных выплат/пособий</w:t>
      </w:r>
    </w:p>
    <w:p>
      <w:pPr>
        <w:spacing w:after="120"/>
        <w:jc w:val="both"/>
      </w:pPr>
      <w:r>
        <w:rPr>
          <w:rFonts w:ascii="Arial" w:cs="Arial" w:eastAsia="Arial" w:hAnsi="Arial"/>
          <w:sz w:val="24"/>
          <w:szCs w:val="24"/>
        </w:rPr>
        <w:t xml:space="preserve">93. Специальные дополнительные выплаты/пособия в рамках данного ПИЗП включают:</w:t>
      </w:r>
    </w:p>
    <w:p>
      <w:pPr>
        <w:spacing w:after="120"/>
        <w:jc w:val="both"/>
      </w:pPr>
      <w:r>
        <w:rPr>
          <w:rFonts w:ascii="Arial" w:cs="Arial" w:eastAsia="Arial" w:hAnsi="Arial"/>
          <w:sz w:val="24"/>
          <w:szCs w:val="24"/>
        </w:rPr>
        <w:t xml:space="preserve">- Специальные выплаты УДХВП: им будет предоставляться единовременное пособие по уязвимости, эквивалентное шестикратному минимальному месячному окладу в Кыргызской Республике.</w:t>
      </w:r>
    </w:p>
    <w:p>
      <w:pPr>
        <w:spacing w:after="120"/>
        <w:jc w:val="both"/>
      </w:pPr>
      <w:r>
        <w:rPr>
          <w:rFonts w:ascii="Arial" w:cs="Arial" w:eastAsia="Arial" w:hAnsi="Arial"/>
          <w:sz w:val="24"/>
          <w:szCs w:val="24"/>
        </w:rPr>
        <w:t xml:space="preserve">- Помощь ДХСВП: а) пособие на реабилитацию, эквивалентное дополнительному урожаю в случае потери более 10% сельскохозяйственных земель; и б) единовременное пособие на реабилитацию для других видов сильных воздействий, также эквивалентное 6-кратному минимальному месячному окладу в Кыргызской Республике.</w:t>
      </w:r>
    </w:p>
    <w:p>
      <w:pPr>
        <w:spacing w:after="120"/>
        <w:jc w:val="both"/>
      </w:pPr>
      <w:r>
        <w:rPr>
          <w:rFonts w:ascii="Arial" w:cs="Arial" w:eastAsia="Arial" w:hAnsi="Arial"/>
          <w:b/>
          <w:bCs/>
          <w:sz w:val="24"/>
          <w:szCs w:val="24"/>
        </w:rPr>
        <w:t xml:space="preserve">5.5. Программа восстановления доходов</w:t>
      </w:r>
    </w:p>
    <w:p>
      <w:pPr>
        <w:spacing w:after="120"/>
        <w:jc w:val="both"/>
      </w:pPr>
      <w:r>
        <w:rPr>
          <w:rFonts w:ascii="Arial" w:cs="Arial" w:eastAsia="Arial" w:hAnsi="Arial"/>
          <w:sz w:val="24"/>
          <w:szCs w:val="24"/>
        </w:rPr>
        <w:t xml:space="preserve">94. В рамках настоящего ПИЗП детальная программа по восстановлению доходов ЗЛ не предусмотрена. Предусмотренные компенсации предполагают покрытие всех возможных убытков, связанных с проектной деятельностью. В ходе проведения СЭС и ДЗИ не были установлены ЗЛ теряющие основные источники доходов, значительных площадей земельных участков и других активов в результате реализации проектной деятельности.</w:t>
      </w:r>
    </w:p>
    <w:p>
      <w:pPr>
        <w:spacing w:after="120"/>
        <w:jc w:val="both"/>
      </w:pPr>
      <w:r>
        <w:rPr>
          <w:rFonts w:ascii="Arial" w:cs="Arial" w:eastAsia="Arial" w:hAnsi="Arial"/>
          <w:b/>
          <w:bCs/>
          <w:sz w:val="24"/>
          <w:szCs w:val="24"/>
        </w:rPr>
        <w:t xml:space="preserve">5.6. Матрица предоставления компенсации в рамках проекта</w:t>
      </w:r>
    </w:p>
    <w:p>
      <w:pPr>
        <w:spacing w:after="120"/>
        <w:jc w:val="both"/>
      </w:pPr>
      <w:r>
        <w:rPr>
          <w:rFonts w:ascii="Arial" w:cs="Arial" w:eastAsia="Arial" w:hAnsi="Arial"/>
          <w:sz w:val="24"/>
          <w:szCs w:val="24"/>
        </w:rPr>
        <w:t xml:space="preserve">95. В таблице 5.2 представлена утвержденная МТИД КР Матрица прав на компенсацию и пособия, ввиду воздействий ИЗП на участке дороги Маданият - Джалал-Абад. В этой матрице четко изложены положения о компенсации, подлежащей выплате ЗЛ в отношении потерь земельных участков различного назначения и имущества с соответствующими последствиями.</w:t>
      </w:r>
    </w:p>
    <w:p>
      <w:pPr>
        <w:spacing w:after="120"/>
        <w:jc w:val="both"/>
      </w:pPr>
      <w:r>
        <w:rPr>
          <w:rFonts w:ascii="Arial" w:cs="Arial" w:eastAsia="Arial" w:hAnsi="Arial"/>
          <w:b/>
          <w:bCs/>
          <w:sz w:val="24"/>
          <w:szCs w:val="24"/>
        </w:rPr>
        <w:t xml:space="preserve">Таблица 5.2: Матрица предоставления компенсации в рамках проекта строительства дороги Маданият - Джалал-Абад, утвержденная МТИД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2495"/>
        <w:gridCol w:w="2385"/>
        <w:gridCol w:w="2709"/>
      </w:tblGrid>
      <w:tr>
        <w:tc>
          <w:tcPr>
            <w:tcW w:type="dxa" w:w="25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воздействия и потери</w:t>
            </w:r>
          </w:p>
        </w:tc>
        <w:tc>
          <w:tcPr>
            <w:tcW w:type="dxa" w:w="24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Сфера применения</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Установление домохозяйств и лиц, затронутых проектом</w:t>
            </w:r>
          </w:p>
        </w:tc>
        <w:tc>
          <w:tcPr>
            <w:tcW w:type="dxa" w:w="2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Принципы/подходы к определению компенсационных выплат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Потеря сельскохозяйственных земель</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сельскохозяйственные земли, потерянные ЗДХ независимо от масштаба воздействия</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свои активы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Законные арендаторы получат компенсацию за потерю права на использование земельных участков по рыночной стоимости или получат право аренды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чьи права могут быть легализованы, должны будут легализовать их и получить компенсацию в качестве законных арендаторов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Потеря земель несельскохозяйственного назначения</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(владельцы/арендаторы/операторы), которые теряют свои земельные участки под коммерческое или жилое использование</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активы</w:t>
            </w:r>
          </w:p>
        </w:tc>
      </w:tr>
      <w:tr>
        <w:tc>
          <w:tcPr>
            <w:vMerge w:val="continue"/>
            <w:tcBorders>
              <w:top w:val="none" w:color="auto" w:sz="0"/>
              <w:left w:val="single" w:color="CBBF9E" w:sz="4"/>
              <w:bottom w:val="single" w:color="CBBF9E" w:sz="4"/>
              <w:right w:val="single" w:color="CBBF9E" w:sz="4"/>
            </w:tcBorders>
          </w:tcP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земельные участки (муниципальные или государственные земельные участки)</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права на использование земельных участков по рыночной стоимости или предоставление права на аренду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Жилые дома</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зданий/сооружений с учетом полной восстановительной стоимости без амортизации + косвенные расходы и спасенные материалы (стоимость перерегистрации оставшегося земельного участка и сооружений)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жилых домов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за потерю зданий и сооружений с учетом полной восстановительной стоимости без амортизации и стоимости материалов одноразового использования, включая косвенные расходы (расходы, связанные с заключением сделки)</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Нежилые здания и постройки</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с действующей регистрацией</w:t>
            </w:r>
          </w:p>
        </w:tc>
        <w:tc>
          <w:tcPr>
            <w:tcW w:type="dxa" w:w="27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с учетом полной восстановительной стоимости без амортизации, косвенные расходы (затраты на совершение сделки) и стоимость материалов одноразового использования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чьи права в отношении зданий и сооружений, построенных на законных земельных участках, могут быть засвидетельствованы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зданий и сооружений, построенных на незаконных земельных участках</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реабилитацию в размере возмещаемой стоимости без амортизации, косвенных расходов (расходов, связанных с совершением сделки) и стоимости одноразовых материалов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Потеря муниципальной/государственной собственности</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Муниципальная/государственная собственность</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Муниципалитет/государство</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Восстановление/реабилитация утраченных конструкций/активов по согласованию с муниципальными властями/уполномоченным государственным органом</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Потеря зеленых насаждений и посевов (деревьев и сельскохозяйственных культур)</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продуктивных деревьев</w:t>
            </w: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независимо от правового статуса используемого земельного участка</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продуктивные деревья с учетом чистого годового урожая с дерева (деревьев) за количество лет, необходимых для того, чтобы заменяющие деревья начали производить сопоставимый урожай плюс стоимость саженцев</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непродуктивных деревьев</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деревья в зависимости от объема древесины</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декоративных деревьев/кустарников</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рыночной стоимости</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культуры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в размере стоимости урожая за один год</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Воздействие на бизнес</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владельцы/арендаторы бизнеса/сотрудники, работающие по контракту и затронутые неофициальные работники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прибыли от законного бизнеса на срок до 1 года на основе заявленного дохода.</w:t>
            </w:r>
          </w:p>
          <w:p>
            <w:pPr>
              <w:jc w:val="left"/>
            </w:pPr>
            <w:r>
              <w:rPr>
                <w:rFonts w:ascii="Arial" w:cs="Arial" w:eastAsia="Arial" w:hAnsi="Arial"/>
                <w:sz w:val="24"/>
                <w:szCs w:val="24"/>
              </w:rPr>
              <w:t xml:space="preserve">2) Компенсация прибыли патентообладателей на срок до 1 года на основании заявленного дохода/оценки дохода.</w:t>
            </w:r>
          </w:p>
          <w:p>
            <w:pPr>
              <w:jc w:val="left"/>
            </w:pPr>
            <w:r>
              <w:rPr>
                <w:rFonts w:ascii="Arial" w:cs="Arial" w:eastAsia="Arial" w:hAnsi="Arial"/>
                <w:sz w:val="24"/>
                <w:szCs w:val="24"/>
              </w:rPr>
              <w:t xml:space="preserve">Для владельцев незаконного бизнеса - пособия на реабилитацию с учетом прожиточного минимума соответствующего региона (района) на срок не более 3-х месяцев</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затронутый бизнес</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прибыли от законного бизнеса на срок до трех месяцев на основе заявленного дохода</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на серьезные воздействия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Сильно затронутые домохозяйства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сильно затронутые ДХ, включая незаконных поселенцев и переселенцев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1 дополнительного урожая за 1 год для ЗДХ, понесших серьезные потери сельскохозяйственного дохода.</w:t>
            </w:r>
          </w:p>
          <w:p>
            <w:pPr>
              <w:jc w:val="left"/>
            </w:pPr>
            <w:r>
              <w:rPr>
                <w:rFonts w:ascii="Arial" w:cs="Arial" w:eastAsia="Arial" w:hAnsi="Arial"/>
                <w:sz w:val="24"/>
                <w:szCs w:val="24"/>
              </w:rPr>
              <w:t xml:space="preserve">2) Пособие на реабилитацию в размере минимальной национальной зарплаты для перемещенных ЗДХ в течение 6 месяцев</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Пособие на переезд</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на переезд</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перемещенные ЗДХ, включая перемещенных арендаторов и движимые предприятия</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Переезд согласно условиям Проекта или с учетом рыночной стоимости транспортировки для самостоятельного переезда в пределах поселка/населенного пункта</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Пособия для уязвимых слоев населения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ЗДХ за чертой бедности/с женщиной во главе семьи/пожилыми людьми или получающие государственные социальные пособия</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дополнение к каким-либо другим льготам предоставляется денежное пособие в размере 6-месячной минимальной заработной платы, а также приоритет трудоустройства на рабочие места в рамках Проекта</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Непредвиденные воздействия проекта, если таковые имеются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МРЖ (Механизм рассмотрения жалоб) принимает решения на индивидуальной основе</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реабилитацию будет выплачиваться с учетом вышеуказанных положений и соответствовать ППЗМ АБР (Азиатский банк развития) (2009 г.), а также действующему законодательству Кыргызской Республики</w:t>
            </w:r>
          </w:p>
        </w:tc>
      </w:tr>
    </w:tbl>
    <w:p>
      <w:pPr>
        <w:spacing w:after="120"/>
        <w:jc w:val="center"/>
      </w:pPr>
      <w:r>
        <w:rPr>
          <w:rFonts w:ascii="Arial" w:cs="Arial" w:eastAsia="Arial" w:hAnsi="Arial"/>
          <w:b/>
          <w:bCs/>
          <w:sz w:val="24"/>
          <w:szCs w:val="24"/>
        </w:rPr>
        <w:t xml:space="preserve">ГЛАВА 6. ОБЩЕСТВЕННЫЕ СЛУШАНИЯ, УЧАСТИЕ МЕСТНОГО НАСЕЛЕНИЯ И ОБНАРОДОВАНИЕ ИНФОРМАЦИИ</w:t>
      </w:r>
    </w:p>
    <w:p>
      <w:pPr>
        <w:spacing w:after="240" w:before="200"/>
        <w:jc w:val="center"/>
      </w:pPr>
      <w:r>
        <w:rPr>
          <w:rFonts w:ascii="Arial" w:cs="Arial" w:eastAsia="Arial" w:hAnsi="Arial"/>
          <w:b/>
          <w:bCs/>
          <w:sz w:val="32"/>
          <w:szCs w:val="32"/>
        </w:rPr>
        <w:t xml:space="preserve">6.1. Общая информация</w:t>
      </w:r>
    </w:p>
    <w:p>
      <w:pPr>
        <w:spacing w:after="120"/>
        <w:jc w:val="both"/>
      </w:pPr>
      <w:r>
        <w:rPr>
          <w:rFonts w:ascii="Arial" w:cs="Arial" w:eastAsia="Arial" w:hAnsi="Arial"/>
          <w:sz w:val="24"/>
          <w:szCs w:val="24"/>
        </w:rPr>
        <w:t xml:space="preserve">96. Устойчивость развития любой инфраструктуры зависит от совместного планирования, в котором общественные слушания играют важную роль. Принимая во внимание этот факт, участие общественности и общественные слушания в рамках данного проекта являются неотъемлемой частью процесса социальной и экологической оценки. Такие слушания используются в качестве инструмента для информирования и просвещения заинтересованных сторон о предлагаемых действиях как до, так и после принятия технических решений с целью обеспечения участия людей в проекте. В этой связи, на разных этапах проекта - от его подготовки до реализации - были организованы общественные слушания, участие населения и многочисленные мероприятия в качестве непрерывного двустороннего процесса. В различные периоды проводились слушания с различными заинтересованными сторонами, среди которых были затронутые проектом лица, чиновники, местное сообщество и выбранные представители народа.</w:t>
      </w:r>
    </w:p>
    <w:p>
      <w:pPr>
        <w:spacing w:after="120"/>
        <w:jc w:val="left"/>
      </w:pPr>
      <w:r>
        <w:rPr>
          <w:rFonts w:ascii="Arial" w:cs="Arial" w:eastAsia="Arial" w:hAnsi="Arial"/>
          <w:b/>
          <w:bCs/>
          <w:sz w:val="24"/>
          <w:szCs w:val="24"/>
        </w:rPr>
        <w:t xml:space="preserve">6.2. Цель общественных слушаний</w:t>
      </w:r>
    </w:p>
    <w:p>
      <w:pPr>
        <w:spacing w:after="120"/>
        <w:jc w:val="both"/>
      </w:pPr>
      <w:r>
        <w:rPr>
          <w:rFonts w:ascii="Arial" w:cs="Arial" w:eastAsia="Arial" w:hAnsi="Arial"/>
          <w:sz w:val="24"/>
          <w:szCs w:val="24"/>
        </w:rPr>
        <w:t xml:space="preserve">97. Общие цели общественных слушаний, участия населения и обнародования информации состоят в следующем:</w:t>
      </w:r>
    </w:p>
    <w:p>
      <w:pPr>
        <w:spacing w:after="120"/>
        <w:jc w:val="both"/>
      </w:pPr>
      <w:r>
        <w:rPr>
          <w:rFonts w:ascii="Arial" w:cs="Arial" w:eastAsia="Arial" w:hAnsi="Arial"/>
          <w:sz w:val="24"/>
          <w:szCs w:val="24"/>
        </w:rPr>
        <w:t xml:space="preserve">- Понимание взглядов затронутых проектом людей в отношении изъятия земли или потери собственности, а также надлежащей компенсации за них.</w:t>
      </w:r>
    </w:p>
    <w:p>
      <w:pPr>
        <w:spacing w:after="120"/>
        <w:jc w:val="both"/>
      </w:pPr>
      <w:r>
        <w:rPr>
          <w:rFonts w:ascii="Arial" w:cs="Arial" w:eastAsia="Arial" w:hAnsi="Arial"/>
          <w:sz w:val="24"/>
          <w:szCs w:val="24"/>
        </w:rPr>
        <w:t xml:space="preserve">- Определение трассы дороги.</w:t>
      </w:r>
    </w:p>
    <w:p>
      <w:pPr>
        <w:spacing w:after="120"/>
        <w:jc w:val="both"/>
      </w:pPr>
      <w:r>
        <w:rPr>
          <w:rFonts w:ascii="Arial" w:cs="Arial" w:eastAsia="Arial" w:hAnsi="Arial"/>
          <w:sz w:val="24"/>
          <w:szCs w:val="24"/>
        </w:rPr>
        <w:t xml:space="preserve">- Определение мнения людей о вариантах переселения, если таковые имеются.</w:t>
      </w:r>
    </w:p>
    <w:p>
      <w:pPr>
        <w:spacing w:after="120"/>
        <w:jc w:val="both"/>
      </w:pPr>
      <w:r>
        <w:rPr>
          <w:rFonts w:ascii="Arial" w:cs="Arial" w:eastAsia="Arial" w:hAnsi="Arial"/>
          <w:sz w:val="24"/>
          <w:szCs w:val="24"/>
        </w:rPr>
        <w:t xml:space="preserve">- Определение и оценка основных экономических и социальных характеристик территории проекта, чтобы обеспечить эффективное планирование и реализацию.</w:t>
      </w:r>
    </w:p>
    <w:p>
      <w:pPr>
        <w:spacing w:after="120"/>
        <w:jc w:val="both"/>
      </w:pPr>
      <w:r>
        <w:rPr>
          <w:rFonts w:ascii="Arial" w:cs="Arial" w:eastAsia="Arial" w:hAnsi="Arial"/>
          <w:sz w:val="24"/>
          <w:szCs w:val="24"/>
        </w:rPr>
        <w:t xml:space="preserve">- Решение вопросов, связанных с воздействием на собственность местного населения и его перемещение.</w:t>
      </w:r>
    </w:p>
    <w:p>
      <w:pPr>
        <w:spacing w:after="120"/>
        <w:jc w:val="both"/>
      </w:pPr>
      <w:r>
        <w:rPr>
          <w:rFonts w:ascii="Arial" w:cs="Arial" w:eastAsia="Arial" w:hAnsi="Arial"/>
          <w:sz w:val="24"/>
          <w:szCs w:val="24"/>
        </w:rPr>
        <w:t xml:space="preserve">- Изучение мнения ЗЛ по вопросам безопасности для здоровья при строительстве и отборе материалов для утилизации мусора или отходов.</w:t>
      </w:r>
    </w:p>
    <w:p>
      <w:pPr>
        <w:spacing w:after="120"/>
        <w:jc w:val="both"/>
      </w:pPr>
      <w:r>
        <w:rPr>
          <w:rFonts w:ascii="Arial" w:cs="Arial" w:eastAsia="Arial" w:hAnsi="Arial"/>
          <w:sz w:val="24"/>
          <w:szCs w:val="24"/>
        </w:rPr>
        <w:t xml:space="preserve">- Определение уровня и степени участия сообщества в реализации и мониторинге проекта.</w:t>
      </w:r>
    </w:p>
    <w:p>
      <w:pPr>
        <w:spacing w:after="120"/>
        <w:jc w:val="both"/>
      </w:pPr>
      <w:r>
        <w:rPr>
          <w:rFonts w:ascii="Arial" w:cs="Arial" w:eastAsia="Arial" w:hAnsi="Arial"/>
          <w:sz w:val="24"/>
          <w:szCs w:val="24"/>
        </w:rPr>
        <w:t xml:space="preserve">- Определение общих целей развития и выгод проекта.</w:t>
      </w:r>
    </w:p>
    <w:p>
      <w:pPr>
        <w:spacing w:after="120"/>
        <w:jc w:val="both"/>
      </w:pPr>
      <w:r>
        <w:rPr>
          <w:rFonts w:ascii="Arial" w:cs="Arial" w:eastAsia="Arial" w:hAnsi="Arial"/>
          <w:sz w:val="24"/>
          <w:szCs w:val="24"/>
        </w:rPr>
        <w:t xml:space="preserve">- Организация тщательной координации между всеми заинтересованными сторонами для успешной реализации проекта.</w:t>
      </w:r>
    </w:p>
    <w:p>
      <w:pPr>
        <w:spacing w:after="120"/>
        <w:jc w:val="left"/>
      </w:pPr>
      <w:r>
        <w:rPr>
          <w:rFonts w:ascii="Arial" w:cs="Arial" w:eastAsia="Arial" w:hAnsi="Arial"/>
          <w:b/>
          <w:bCs/>
          <w:sz w:val="24"/>
          <w:szCs w:val="24"/>
        </w:rPr>
        <w:t xml:space="preserve">6.3. Особые цели общественных слушаний:</w:t>
      </w:r>
    </w:p>
    <w:p>
      <w:pPr>
        <w:spacing w:after="120"/>
        <w:jc w:val="both"/>
      </w:pPr>
      <w:r>
        <w:rPr>
          <w:rFonts w:ascii="Arial" w:cs="Arial" w:eastAsia="Arial" w:hAnsi="Arial"/>
          <w:sz w:val="24"/>
          <w:szCs w:val="24"/>
        </w:rPr>
        <w:t xml:space="preserve">- повышение осведомленности общественности о предлагаемом проекте, особенно среди людей, домохозяйств и сообществ, которые могут подвергнуться воздействию;</w:t>
      </w:r>
    </w:p>
    <w:p>
      <w:pPr>
        <w:spacing w:after="120"/>
        <w:jc w:val="both"/>
      </w:pPr>
      <w:r>
        <w:rPr>
          <w:rFonts w:ascii="Arial" w:cs="Arial" w:eastAsia="Arial" w:hAnsi="Arial"/>
          <w:sz w:val="24"/>
          <w:szCs w:val="24"/>
        </w:rPr>
        <w:t xml:space="preserve">- информирование потенциально затрагиваемых людей, домохозяйств и местной общественности о предлагаемом порядке действий проекта;</w:t>
      </w:r>
    </w:p>
    <w:p>
      <w:pPr>
        <w:spacing w:after="120"/>
        <w:jc w:val="both"/>
      </w:pPr>
      <w:r>
        <w:rPr>
          <w:rFonts w:ascii="Arial" w:cs="Arial" w:eastAsia="Arial" w:hAnsi="Arial"/>
          <w:sz w:val="24"/>
          <w:szCs w:val="24"/>
        </w:rPr>
        <w:t xml:space="preserve">- разъяснения связанных с проектом терминов и определений для более четкого понимания проекта, политики и документов по социальной защите;</w:t>
      </w:r>
    </w:p>
    <w:p>
      <w:pPr>
        <w:spacing w:after="120"/>
        <w:jc w:val="both"/>
      </w:pPr>
      <w:r>
        <w:rPr>
          <w:rFonts w:ascii="Arial" w:cs="Arial" w:eastAsia="Arial" w:hAnsi="Arial"/>
          <w:sz w:val="24"/>
          <w:szCs w:val="24"/>
        </w:rPr>
        <w:t xml:space="preserve">- информирование общественности о важности их роли в поддержке/содействии в реализации проекта, включая реализацию ПИЗП и других вопросов безопасности в рамках проекта.</w:t>
      </w:r>
    </w:p>
    <w:p>
      <w:pPr>
        <w:spacing w:after="120"/>
        <w:jc w:val="left"/>
      </w:pPr>
      <w:r>
        <w:rPr>
          <w:rFonts w:ascii="Arial" w:cs="Arial" w:eastAsia="Arial" w:hAnsi="Arial"/>
          <w:b/>
          <w:bCs/>
          <w:sz w:val="24"/>
          <w:szCs w:val="24"/>
        </w:rPr>
        <w:t xml:space="preserve">6.4. Методы проведения общественных слушаний</w:t>
      </w:r>
    </w:p>
    <w:p>
      <w:pPr>
        <w:spacing w:after="120"/>
        <w:jc w:val="both"/>
      </w:pPr>
      <w:r>
        <w:rPr>
          <w:rFonts w:ascii="Arial" w:cs="Arial" w:eastAsia="Arial" w:hAnsi="Arial"/>
          <w:sz w:val="24"/>
          <w:szCs w:val="24"/>
        </w:rPr>
        <w:t xml:space="preserve">98. Общественные слушания проводились в зоне реализации проекта на разных уровнях. Однако на данном этапе окончательной доработки ПИЗП слушания были проведены в ГРИП в г.Бишкек, региональном офисе Координатора ГРИП в г.Джалал-Абад, для подрядчика, команды Консультанта, в местных органах власти на уровне районов и населенных пунктов, для ЗЛ и других местных жителей в зоне реализации проекта. Для проведения общественных слушаний в рамках данного проекта использовалась следующая методология:</w:t>
      </w:r>
    </w:p>
    <w:p>
      <w:pPr>
        <w:spacing w:after="120"/>
        <w:jc w:val="both"/>
      </w:pPr>
      <w:r>
        <w:rPr>
          <w:rFonts w:ascii="Arial" w:cs="Arial" w:eastAsia="Arial" w:hAnsi="Arial"/>
          <w:sz w:val="24"/>
          <w:szCs w:val="24"/>
        </w:rPr>
        <w:t xml:space="preserve">- Распространение информации о целях встреч и обращение к местным органам власти и жителям населенных пунктов с просьбой о посещении общественных слушаний в различных уязвимых точках/офисах местных органов власти.</w:t>
      </w:r>
    </w:p>
    <w:p>
      <w:pPr>
        <w:spacing w:after="120"/>
        <w:jc w:val="both"/>
      </w:pPr>
      <w:r>
        <w:rPr>
          <w:rFonts w:ascii="Arial" w:cs="Arial" w:eastAsia="Arial" w:hAnsi="Arial"/>
          <w:sz w:val="24"/>
          <w:szCs w:val="24"/>
        </w:rPr>
        <w:t xml:space="preserve">- Требования к подготовке ПИЗП и его последующее утверждение компетентными органами для организации соответствующих компенсационных выплат за имущество ЗЛ, попавшее под воздействие проекта, до начала фактического строительства дороги.</w:t>
      </w:r>
    </w:p>
    <w:p>
      <w:pPr>
        <w:spacing w:after="120"/>
        <w:jc w:val="both"/>
      </w:pPr>
      <w:r>
        <w:rPr>
          <w:rFonts w:ascii="Arial" w:cs="Arial" w:eastAsia="Arial" w:hAnsi="Arial"/>
          <w:sz w:val="24"/>
          <w:szCs w:val="24"/>
        </w:rPr>
        <w:t xml:space="preserve">Обмен мнениями и определение предпочтений ЗЛ, их проблем/ограничений и неудобств по различным вопросам, связанным с проектом.</w:t>
      </w:r>
    </w:p>
    <w:p>
      <w:pPr>
        <w:spacing w:after="120"/>
        <w:jc w:val="both"/>
      </w:pPr>
      <w:r>
        <w:rPr>
          <w:rFonts w:ascii="Arial" w:cs="Arial" w:eastAsia="Arial" w:hAnsi="Arial"/>
          <w:sz w:val="24"/>
          <w:szCs w:val="24"/>
        </w:rPr>
        <w:t xml:space="preserve">Вовлечение ЗЛ и всех других заинтересованных сторон в процесс принятия решений, включая подготовку и реализацию ПИЗП.</w:t>
      </w:r>
    </w:p>
    <w:p>
      <w:pPr>
        <w:spacing w:after="120"/>
        <w:jc w:val="both"/>
      </w:pPr>
      <w:r>
        <w:rPr>
          <w:rFonts w:ascii="Arial" w:cs="Arial" w:eastAsia="Arial" w:hAnsi="Arial"/>
          <w:sz w:val="24"/>
          <w:szCs w:val="24"/>
        </w:rPr>
        <w:t xml:space="preserve">- Обход некоторых дорожных участков, которые считаются наиболее уязвимыми, особенно затронутые жилые дома/предприятия, и проведение неформальных слушаний с ЗЛ.</w:t>
      </w:r>
    </w:p>
    <w:p>
      <w:pPr>
        <w:spacing w:after="120"/>
        <w:jc w:val="both"/>
      </w:pPr>
      <w:r>
        <w:rPr>
          <w:rFonts w:ascii="Arial" w:cs="Arial" w:eastAsia="Arial" w:hAnsi="Arial"/>
          <w:b/>
          <w:bCs/>
          <w:sz w:val="24"/>
          <w:szCs w:val="24"/>
        </w:rPr>
        <w:t xml:space="preserve">6.5. Информация, полученная в ходе общественных слушаний</w:t>
      </w:r>
    </w:p>
    <w:p>
      <w:pPr>
        <w:spacing w:after="120"/>
        <w:jc w:val="both"/>
      </w:pPr>
      <w:r>
        <w:rPr>
          <w:rFonts w:ascii="Arial" w:cs="Arial" w:eastAsia="Arial" w:hAnsi="Arial"/>
          <w:sz w:val="24"/>
          <w:szCs w:val="24"/>
        </w:rPr>
        <w:t xml:space="preserve">99. Было отмечено, что в процессе общественных слушаний и встреч с заинтересованными сторонами проекта и рядом потенциальных затронутых проектом лиц, большинство людей были осведомлены о воздействии проекта и его последствиях на землю и собственность, расположенную вдоль полосы отвода дороги. Лица, у которых под воздействие проекта попали домохозяйства и коммерческая деятельность, выразили обеспокоенность относительно смягчения этих воздействий и проблем в отношении их средств к существованию. Некоторые из них опасались потери жилых помещений и коммерческой деятельности, что может оказать непосредственное влияние на их жизнь и экономическое положение. Однако, было отмечено, что потери в отношении почти всех домов будут частичными, а также воздействие на экономическое положение ввиду потери бизнеса будет очень минимальным, и все это будет хорошо компенсировано проектом. Большинство людей и участников общественных слушаний восприняли проект положительно. Основные выводы общественных слушаний, проведенных в различных местах, сводятся к следующему:</w:t>
      </w:r>
    </w:p>
    <w:p>
      <w:pPr>
        <w:spacing w:after="120"/>
        <w:jc w:val="both"/>
      </w:pPr>
      <w:r>
        <w:rPr>
          <w:rFonts w:ascii="Arial" w:cs="Arial" w:eastAsia="Arial" w:hAnsi="Arial"/>
          <w:sz w:val="24"/>
          <w:szCs w:val="24"/>
        </w:rPr>
        <w:t xml:space="preserve">- Большинство людей осведомлены о проекте и готовы оказать поддержку в случае необходимости, включая вопросы безопасности.</w:t>
      </w:r>
    </w:p>
    <w:p>
      <w:pPr>
        <w:spacing w:after="120"/>
        <w:jc w:val="both"/>
      </w:pPr>
      <w:r>
        <w:rPr>
          <w:rFonts w:ascii="Arial" w:cs="Arial" w:eastAsia="Arial" w:hAnsi="Arial"/>
          <w:sz w:val="24"/>
          <w:szCs w:val="24"/>
        </w:rPr>
        <w:t xml:space="preserve">- Люди также пожелали, чтобы ЗЛ был предоставлен справедливый компенсационный пакет за утерянную собственность, то есть тем, кто теряет свое имущество, возможности для осуществления коммерческой деятельности и получения дохода в результате проекта.</w:t>
      </w:r>
    </w:p>
    <w:p>
      <w:pPr>
        <w:spacing w:after="120"/>
        <w:jc w:val="both"/>
      </w:pPr>
      <w:r>
        <w:rPr>
          <w:rFonts w:ascii="Arial" w:cs="Arial" w:eastAsia="Arial" w:hAnsi="Arial"/>
          <w:sz w:val="24"/>
          <w:szCs w:val="24"/>
        </w:rPr>
        <w:t xml:space="preserve">- ЗЛ, у которых под воздействие попадают магазины/коммерческая деятельность и сооружения, знают, что те люди, которые осуществляют свой бизнес вдоль трассы дороги, в основном находятся на государственной земле, которая для них считается незаконной, если только она не арендована у Государства. Они также охотно готовы переместиться с нынешних мест. В этом отношении, указанные ЗЛ ожидают от властей внимательного отношения к их проблемам и ищут определенную помощь для восстановления своего экономического положения.</w:t>
      </w:r>
    </w:p>
    <w:p>
      <w:pPr>
        <w:spacing w:after="120"/>
        <w:jc w:val="both"/>
      </w:pPr>
      <w:r>
        <w:rPr>
          <w:rFonts w:ascii="Arial" w:cs="Arial" w:eastAsia="Arial" w:hAnsi="Arial"/>
          <w:sz w:val="24"/>
          <w:szCs w:val="24"/>
        </w:rPr>
        <w:t xml:space="preserve">- Люди также заинтересованы в получении альтернативных участков земли в других местах взамен потерянной ими земли.</w:t>
      </w:r>
    </w:p>
    <w:p>
      <w:pPr>
        <w:spacing w:after="120"/>
        <w:jc w:val="both"/>
      </w:pPr>
      <w:r>
        <w:rPr>
          <w:rFonts w:ascii="Arial" w:cs="Arial" w:eastAsia="Arial" w:hAnsi="Arial"/>
          <w:sz w:val="24"/>
          <w:szCs w:val="24"/>
        </w:rPr>
        <w:t xml:space="preserve">- Они также выразили заинтересованность в компенсации и обратились с просьбой о получении адекватных выплат за все магазины и предприятия, подлежащие изъятию, а также о предварительном уведомлении об этом до начала строительства в рамках проекта.</w:t>
      </w:r>
    </w:p>
    <w:p>
      <w:pPr>
        <w:spacing w:after="120"/>
        <w:jc w:val="both"/>
      </w:pPr>
      <w:r>
        <w:rPr>
          <w:rFonts w:ascii="Arial" w:cs="Arial" w:eastAsia="Arial" w:hAnsi="Arial"/>
          <w:sz w:val="24"/>
          <w:szCs w:val="24"/>
        </w:rPr>
        <w:t xml:space="preserve">- Должны быть приняты надлежащие меры для восстановления потерянного дохода и средств к существованию в результате указанного перемещения.</w:t>
      </w:r>
    </w:p>
    <w:p>
      <w:pPr>
        <w:spacing w:after="120"/>
        <w:jc w:val="both"/>
      </w:pPr>
      <w:r>
        <w:rPr>
          <w:rFonts w:ascii="Arial" w:cs="Arial" w:eastAsia="Arial" w:hAnsi="Arial"/>
          <w:sz w:val="24"/>
          <w:szCs w:val="24"/>
        </w:rPr>
        <w:t xml:space="preserve">- Необходимо принять надлежащие меры безопасности для сохранения социокультурных ценностей, таких как мечети, образовательные учреждения, дома культуры, места захоронения и т.д., если таковые имеются. Они должны быть заменены/перемещены руководством проекта. Кроме того, эти мероприятия потребуют согласия местного сообщества посредством проведения необходимых слушаний.</w:t>
      </w:r>
    </w:p>
    <w:p>
      <w:pPr>
        <w:spacing w:after="120"/>
        <w:jc w:val="both"/>
      </w:pPr>
      <w:r>
        <w:rPr>
          <w:rFonts w:ascii="Arial" w:cs="Arial" w:eastAsia="Arial" w:hAnsi="Arial"/>
          <w:sz w:val="24"/>
          <w:szCs w:val="24"/>
        </w:rPr>
        <w:t xml:space="preserve">- Люди сообщили, что археологические памятники или какие-либо охраняемые зоны поблизости территории проекта отсутствуют.</w:t>
      </w:r>
    </w:p>
    <w:p>
      <w:pPr>
        <w:spacing w:after="120"/>
        <w:jc w:val="both"/>
      </w:pPr>
      <w:r>
        <w:rPr>
          <w:rFonts w:ascii="Arial" w:cs="Arial" w:eastAsia="Arial" w:hAnsi="Arial"/>
          <w:sz w:val="24"/>
          <w:szCs w:val="24"/>
        </w:rPr>
        <w:t xml:space="preserve">- Компенсация должна основываться на текущей рыночной стоимости.</w:t>
      </w:r>
    </w:p>
    <w:p>
      <w:pPr>
        <w:spacing w:after="120"/>
        <w:jc w:val="both"/>
      </w:pPr>
      <w:r>
        <w:rPr>
          <w:rFonts w:ascii="Arial" w:cs="Arial" w:eastAsia="Arial" w:hAnsi="Arial"/>
          <w:sz w:val="24"/>
          <w:szCs w:val="24"/>
        </w:rPr>
        <w:t xml:space="preserve">- Они поддерживают проект, так как будут получать различную выгоду в долгосрочной перспективе благодаря улучшенной дорожно-транспортной системе, а также получат работу во время строительства.</w:t>
      </w:r>
    </w:p>
    <w:p>
      <w:pPr>
        <w:spacing w:after="120"/>
        <w:jc w:val="both"/>
      </w:pPr>
      <w:r>
        <w:rPr>
          <w:rFonts w:ascii="Arial" w:cs="Arial" w:eastAsia="Arial" w:hAnsi="Arial"/>
          <w:sz w:val="24"/>
          <w:szCs w:val="24"/>
        </w:rPr>
        <w:t xml:space="preserve">- Люди дали согласие на сотрудничество при условии, что будет предоставлена адекватная компенсация.</w:t>
      </w:r>
    </w:p>
    <w:p>
      <w:pPr>
        <w:spacing w:after="120"/>
        <w:jc w:val="both"/>
      </w:pPr>
      <w:r>
        <w:rPr>
          <w:rFonts w:ascii="Arial" w:cs="Arial" w:eastAsia="Arial" w:hAnsi="Arial"/>
          <w:sz w:val="24"/>
          <w:szCs w:val="24"/>
        </w:rPr>
        <w:t xml:space="preserve">- Запросы на продолжение функционирования различных объектов и социальной инфраструктуры, включая восстановление ирригационного канала/труб для полива сельскохозяйственных культур в полях, трубопроводов для питьевой воды, распределение электроэнергии и т.д.</w:t>
      </w:r>
    </w:p>
    <w:p>
      <w:pPr>
        <w:spacing w:after="120"/>
        <w:jc w:val="both"/>
      </w:pPr>
      <w:r>
        <w:rPr>
          <w:rFonts w:ascii="Arial" w:cs="Arial" w:eastAsia="Arial" w:hAnsi="Arial"/>
          <w:sz w:val="24"/>
          <w:szCs w:val="24"/>
        </w:rPr>
        <w:t xml:space="preserve">- Они сделали акцент на вопросах строительства/восстановления водопропускных труб, где это необходимо, и обеспечения достаточного освещения в зоне проекта, а также нанесения пешеходных переходов "зебра" в соответствующих местах с целью предотвращения несчастных случаев.</w:t>
      </w:r>
    </w:p>
    <w:p>
      <w:pPr>
        <w:spacing w:after="120"/>
        <w:jc w:val="both"/>
      </w:pPr>
      <w:r>
        <w:rPr>
          <w:rFonts w:ascii="Arial" w:cs="Arial" w:eastAsia="Arial" w:hAnsi="Arial"/>
          <w:sz w:val="24"/>
          <w:szCs w:val="24"/>
        </w:rPr>
        <w:t xml:space="preserve">- ЗЛ обратились с просьбой об обеспечении участия местного сообщества в деятельности проекта.</w:t>
      </w:r>
    </w:p>
    <w:p>
      <w:pPr>
        <w:spacing w:after="120"/>
        <w:jc w:val="both"/>
      </w:pPr>
      <w:r>
        <w:rPr>
          <w:rFonts w:ascii="Arial" w:cs="Arial" w:eastAsia="Arial" w:hAnsi="Arial"/>
          <w:sz w:val="24"/>
          <w:szCs w:val="24"/>
        </w:rPr>
        <w:t xml:space="preserve">- Руководители проекта должны рекомендовать подрядчикам наем местных жителей при надлежащей консультации с местным сообществом и избранными представителями.</w:t>
      </w:r>
    </w:p>
    <w:p>
      <w:pPr>
        <w:spacing w:after="120"/>
        <w:jc w:val="both"/>
      </w:pPr>
      <w:r>
        <w:rPr>
          <w:rFonts w:ascii="Arial" w:cs="Arial" w:eastAsia="Arial" w:hAnsi="Arial"/>
          <w:sz w:val="24"/>
          <w:szCs w:val="24"/>
        </w:rPr>
        <w:t xml:space="preserve">- Были подняты вопросы о привлечении небольших местных подрядчиков в период строительства.</w:t>
      </w:r>
    </w:p>
    <w:p>
      <w:pPr>
        <w:spacing w:after="120"/>
        <w:jc w:val="both"/>
      </w:pPr>
      <w:r>
        <w:rPr>
          <w:rFonts w:ascii="Arial" w:cs="Arial" w:eastAsia="Arial" w:hAnsi="Arial"/>
          <w:sz w:val="24"/>
          <w:szCs w:val="24"/>
        </w:rPr>
        <w:t xml:space="preserve">- Люди попросили обеспечить надлежащие меры безопасности для бесперебойной общественной жизни в период строительства дорог.</w:t>
      </w:r>
    </w:p>
    <w:p>
      <w:pPr>
        <w:spacing w:after="120"/>
        <w:jc w:val="both"/>
      </w:pPr>
      <w:r>
        <w:rPr>
          <w:rFonts w:ascii="Arial" w:cs="Arial" w:eastAsia="Arial" w:hAnsi="Arial"/>
          <w:sz w:val="24"/>
          <w:szCs w:val="24"/>
        </w:rPr>
        <w:t xml:space="preserve">100. Ряд общественных слушаний проводился в разные периоды - от этапа технико-экономического обоснования до настоящего времени - и в разных местах проекта. Список некоторых важных общественных слушаний, проведенных на этапе подготовки ПИЗП районами/селами/местностями и учреждениями, приведен в нижеследующей Таблице 6.1 с указанием дат, мест, количества участников и т.д., вместе с фотографиями слушаний:</w:t>
      </w:r>
    </w:p>
    <w:p>
      <w:pPr>
        <w:spacing w:after="120"/>
        <w:jc w:val="both"/>
      </w:pPr>
      <w:r>
        <w:rPr>
          <w:rFonts w:ascii="Arial" w:cs="Arial" w:eastAsia="Arial" w:hAnsi="Arial"/>
          <w:b/>
          <w:bCs/>
          <w:sz w:val="24"/>
          <w:szCs w:val="24"/>
        </w:rPr>
        <w:t xml:space="preserve">Таблица 6.1: Список проведенных общественных слушаний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3837"/>
        <w:gridCol w:w="1504"/>
        <w:gridCol w:w="2638"/>
        <w:gridCol w:w="1677"/>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8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района села/местности/учреждения</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слушания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мест проведения встречи</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участников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МТИД, Бишкек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МТИД в г.Бишкек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в Жалал-Абаде</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в г.Жалал-Абад</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администрация Базар-Коргонского района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КСН, Жалал-Абад</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КСН, Жалал-Абад</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Момбековский айыльный аймак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Кочкор-Ата</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г.Кочкор-Ата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Масыйский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Масыйский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Шайданский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Шайдан</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и Бешикжонский айыльные аймаки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администрация Базар-Коргонского района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43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встреч: 14</w:t>
            </w:r>
          </w:p>
        </w:tc>
        <w:tc>
          <w:tcPr>
            <w:tcW w:type="dxa" w:w="4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число участников</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r>
    </w:tbl>
    <w:p>
      <w:pPr>
        <w:spacing w:after="120"/>
        <w:jc w:val="both"/>
      </w:pPr>
      <w:r>
        <w:rPr>
          <w:rFonts w:ascii="Arial" w:cs="Arial" w:eastAsia="Arial" w:hAnsi="Arial"/>
          <w:b/>
          <w:bCs/>
          <w:sz w:val="24"/>
          <w:szCs w:val="24"/>
        </w:rPr>
        <w:t xml:space="preserve">6.6. Продолжение общественных слушаний</w:t>
      </w:r>
    </w:p>
    <w:p>
      <w:pPr>
        <w:spacing w:after="120"/>
        <w:jc w:val="both"/>
      </w:pPr>
      <w:r>
        <w:rPr>
          <w:rFonts w:ascii="Arial" w:cs="Arial" w:eastAsia="Arial" w:hAnsi="Arial"/>
          <w:sz w:val="24"/>
          <w:szCs w:val="24"/>
        </w:rPr>
        <w:t xml:space="preserve">101. Общественные слушания будут продолжаться на протяжении всего проектного цикла. Эффективность реализации переселения напрямую зависит от степени постоянного участия лиц, затронутых проектом. До стадии реализации ПИЗП проекта потребуется несколько дополнительных серий слушаний для ЗЛ.</w:t>
      </w:r>
    </w:p>
    <w:p>
      <w:pPr>
        <w:spacing w:after="120"/>
        <w:jc w:val="both"/>
      </w:pPr>
      <w:r>
        <w:rPr>
          <w:rFonts w:ascii="Arial" w:cs="Arial" w:eastAsia="Arial" w:hAnsi="Arial"/>
          <w:sz w:val="24"/>
          <w:szCs w:val="24"/>
        </w:rPr>
        <w:t xml:space="preserve">102. Следующая серия слушаний будет проходить после предоставления компенсаций и помощи и по мере того, как начнется фактическое переселение. Обнародование информации направлено на эффективное внедрение и своевременное выполнение ПИЗП. В интересах сообщества в целом и ЗЛ в частности, ПИЗП должен быть доступен в соответствующих офисах МТИД КР, включая ГРИП, Районы, Местное сообщество и т.д. ГРИП предоставит информацию о политике переселения и особенностях ПИЗП. Для продолжения общественных слушаний в рамках проекта предусмотрены следующие шаги:</w:t>
      </w:r>
    </w:p>
    <w:p>
      <w:pPr>
        <w:spacing w:after="120"/>
        <w:jc w:val="both"/>
      </w:pPr>
      <w:r>
        <w:rPr>
          <w:rFonts w:ascii="Arial" w:cs="Arial" w:eastAsia="Arial" w:hAnsi="Arial"/>
          <w:sz w:val="24"/>
          <w:szCs w:val="24"/>
        </w:rPr>
        <w:t xml:space="preserve">- В рамках Механизма рассмотрения жалоб (МРЖ) будут созданы группы по рассмотрению жалоб (ГРЖ). ЗЛ будут поддерживать связь с указанным комитетом через своих представителей.</w:t>
      </w:r>
    </w:p>
    <w:p>
      <w:pPr>
        <w:spacing w:after="120"/>
        <w:jc w:val="both"/>
      </w:pPr>
      <w:r>
        <w:rPr>
          <w:rFonts w:ascii="Arial" w:cs="Arial" w:eastAsia="Arial" w:hAnsi="Arial"/>
          <w:sz w:val="24"/>
          <w:szCs w:val="24"/>
        </w:rPr>
        <w:t xml:space="preserve">- Группа по переселению, действующая в рамках проекта, будет организовывать общественные слушания/встречи с целью информирования общественности о предоставляемых компенсациях и помощи. В вышеупомянутых офисах будет регулярно обновляться информация о ходе выполнения компонента проекта по переселению с целью обнародования данной информации.</w:t>
      </w:r>
    </w:p>
    <w:p>
      <w:pPr>
        <w:spacing w:after="120"/>
        <w:jc w:val="both"/>
      </w:pPr>
      <w:r>
        <w:rPr>
          <w:rFonts w:ascii="Arial" w:cs="Arial" w:eastAsia="Arial" w:hAnsi="Arial"/>
          <w:sz w:val="24"/>
          <w:szCs w:val="24"/>
        </w:rPr>
        <w:t xml:space="preserve">- Все отчеты о мониторинге и оценке компонентов проекта по переселению будут обнародоваться в таком же порядке, как и ПИЗП.</w:t>
      </w:r>
    </w:p>
    <w:p>
      <w:pPr>
        <w:spacing w:after="120"/>
        <w:jc w:val="both"/>
      </w:pPr>
      <w:r>
        <w:rPr>
          <w:rFonts w:ascii="Arial" w:cs="Arial" w:eastAsia="Arial" w:hAnsi="Arial"/>
          <w:sz w:val="24"/>
          <w:szCs w:val="24"/>
        </w:rPr>
        <w:t xml:space="preserve">- Будет предоставляться информация об основных характеристиках компенсационных выплат вдоль коридора проекта.</w:t>
      </w:r>
    </w:p>
    <w:p>
      <w:pPr>
        <w:spacing w:after="120"/>
        <w:jc w:val="both"/>
      </w:pPr>
      <w:r>
        <w:rPr>
          <w:rFonts w:ascii="Arial" w:cs="Arial" w:eastAsia="Arial" w:hAnsi="Arial"/>
          <w:sz w:val="24"/>
          <w:szCs w:val="24"/>
        </w:rPr>
        <w:t xml:space="preserve">- Совместно с Группой по переселению, ГРИП проведет сессии по распространению информации на основных перекрестках и попросит помощи лидеров местного сообщества в поощрении ЗЛ к участию в реализации ПИЗП.</w:t>
      </w:r>
    </w:p>
    <w:p>
      <w:pPr>
        <w:spacing w:after="120"/>
        <w:jc w:val="both"/>
      </w:pPr>
      <w:r>
        <w:rPr>
          <w:rFonts w:ascii="Arial" w:cs="Arial" w:eastAsia="Arial" w:hAnsi="Arial"/>
          <w:sz w:val="24"/>
          <w:szCs w:val="24"/>
        </w:rPr>
        <w:t xml:space="preserve">- Будут предприниматься усилия по обеспечению понимания уязвимыми группами данного процесса и по учету их конкретных потребностей.</w:t>
      </w:r>
    </w:p>
    <w:p>
      <w:pPr>
        <w:spacing w:after="120"/>
        <w:jc w:val="both"/>
      </w:pPr>
      <w:r>
        <w:rPr>
          <w:rFonts w:ascii="Arial" w:cs="Arial" w:eastAsia="Arial" w:hAnsi="Arial"/>
          <w:b/>
          <w:bCs/>
          <w:sz w:val="24"/>
          <w:szCs w:val="24"/>
        </w:rPr>
        <w:t xml:space="preserve">6.7. Обнародование информации</w:t>
      </w:r>
    </w:p>
    <w:p>
      <w:pPr>
        <w:spacing w:after="120"/>
        <w:jc w:val="both"/>
      </w:pPr>
      <w:r>
        <w:rPr>
          <w:rFonts w:ascii="Arial" w:cs="Arial" w:eastAsia="Arial" w:hAnsi="Arial"/>
          <w:sz w:val="24"/>
          <w:szCs w:val="24"/>
        </w:rPr>
        <w:t xml:space="preserve">103. С целью обеспечения большей прозрачности планирования, а также дальнейшего активного участия ЗЛ и других заинтересованных сторон, информация о проекте будет распространяться посредством обнародования документов по планированию переселения. Информационная брошюра о переселении, содержащая информацию о компенсациях, причитающихся выплатах и управлении переселением, предусмотренных проектом, будет доступна как на кыргызском, так и на русском языках и распространена среди всех ЗЛ. Каждому ЗЛ будет предоставлена информация о причитающихся ему компенсационных выплатах. ГРИП будет оказывать поддержку в информировании затрагиваемых проектом людей о последствиях, компенсациях и предлагаемой помощи, а также содействовать в рассмотрении каких-либо жалоб. Они будут проводить специальные встречи для устного информирования малограмотных граждан об их правах. Копия ПИЗП будет предоставлена ГРИП и областным/районным/местным органам власти, а также будет предоставляться ЗЛ по их запросу.</w:t>
      </w:r>
    </w:p>
    <w:p>
      <w:pPr>
        <w:spacing w:after="120"/>
        <w:jc w:val="both"/>
      </w:pPr>
      <w:r>
        <w:rPr>
          <w:rFonts w:ascii="Arial" w:cs="Arial" w:eastAsia="Arial" w:hAnsi="Arial"/>
          <w:sz w:val="24"/>
          <w:szCs w:val="24"/>
        </w:rPr>
        <w:t xml:space="preserve">104. Однако информация об основных положениях настоящего ПИЗП уже была предоставлена ЗЛ в рамках общественных слушаний, опросов и встреч в разные периоды, а также во время ДЗИ и оценочного опроса с неформальным взаимодействием между ЗЛ и консультантами. Время от времени необходимые слушания/встречи также проводились ГРИП с соответствующими сотрудниками местных органов власти. После получения от ЕАБР невозражения на ПИЗП последует реализация следующего плана обнародования ПИЗП:</w:t>
      </w:r>
    </w:p>
    <w:p>
      <w:pPr>
        <w:spacing w:after="120"/>
        <w:jc w:val="both"/>
      </w:pPr>
      <w:r>
        <w:rPr>
          <w:rFonts w:ascii="Arial" w:cs="Arial" w:eastAsia="Arial" w:hAnsi="Arial"/>
          <w:sz w:val="24"/>
          <w:szCs w:val="24"/>
        </w:rPr>
        <w:t xml:space="preserve">- ПИЗП будет опубликован на вебсайте ЕФСР.</w:t>
      </w:r>
    </w:p>
    <w:p>
      <w:pPr>
        <w:spacing w:after="120"/>
        <w:jc w:val="both"/>
      </w:pPr>
      <w:r>
        <w:rPr>
          <w:rFonts w:ascii="Arial" w:cs="Arial" w:eastAsia="Arial" w:hAnsi="Arial"/>
          <w:sz w:val="24"/>
          <w:szCs w:val="24"/>
        </w:rPr>
        <w:t xml:space="preserve">- Предоставление ПИЗП на кыргызском, русском и английском языках МТИД КР, ГРИП, местным подразделениям МТИД КР, ЗЛ, представителям власти в Джалал-Абадской области и соответствующим районам, а также другим местным офисам на территории проекта.</w:t>
      </w:r>
    </w:p>
    <w:p>
      <w:pPr>
        <w:spacing w:after="120"/>
        <w:jc w:val="both"/>
      </w:pPr>
      <w:r>
        <w:rPr>
          <w:rFonts w:ascii="Arial" w:cs="Arial" w:eastAsia="Arial" w:hAnsi="Arial"/>
          <w:sz w:val="24"/>
          <w:szCs w:val="24"/>
        </w:rPr>
        <w:t xml:space="preserve">- ПИЗП будет доступен в соответствующих государственных учреждениях для информирования широкой общественности.</w:t>
      </w:r>
    </w:p>
    <w:p>
      <w:pPr>
        <w:spacing w:after="120"/>
        <w:jc w:val="both"/>
      </w:pPr>
      <w:r>
        <w:rPr>
          <w:rFonts w:ascii="Arial" w:cs="Arial" w:eastAsia="Arial" w:hAnsi="Arial"/>
          <w:sz w:val="24"/>
          <w:szCs w:val="24"/>
        </w:rPr>
        <w:t xml:space="preserve">- Размещение ПИЗП на сайте МТИД КР.</w:t>
      </w:r>
    </w:p>
    <w:p>
      <w:pPr>
        <w:spacing w:after="120"/>
        <w:jc w:val="both"/>
      </w:pPr>
      <w:r>
        <w:rPr>
          <w:rFonts w:ascii="Arial" w:cs="Arial" w:eastAsia="Arial" w:hAnsi="Arial"/>
          <w:sz w:val="24"/>
          <w:szCs w:val="24"/>
        </w:rPr>
        <w:t xml:space="preserve">- Предоставление информационного буклета всем ЗЛ консультантами районных/местных сельских управлений и подрядчиками.</w:t>
      </w:r>
    </w:p>
    <w:p>
      <w:pPr>
        <w:spacing w:after="120"/>
        <w:jc w:val="both"/>
      </w:pPr>
      <w:r>
        <w:rPr>
          <w:rFonts w:ascii="Arial" w:cs="Arial" w:eastAsia="Arial" w:hAnsi="Arial"/>
          <w:sz w:val="24"/>
          <w:szCs w:val="24"/>
        </w:rPr>
        <w:t xml:space="preserve">105. Участие Консультанта по реализации в данных мероприятиях окажет содействие МТИД КР и ГРИП в раскрытии информации о ПИЗП, таким образом, поддерживая осведомленность ЗЛ о воздействиях, компенсациях и помощи, а также содействуя рассмотрению каких-либо жалоб.</w:t>
      </w:r>
    </w:p>
    <w:p>
      <w:pPr>
        <w:spacing w:after="120"/>
        <w:jc w:val="both"/>
      </w:pPr>
      <w:r>
        <w:rPr>
          <w:rFonts w:ascii="Arial" w:cs="Arial" w:eastAsia="Arial" w:hAnsi="Arial"/>
          <w:b/>
          <w:bCs/>
          <w:sz w:val="24"/>
          <w:szCs w:val="24"/>
        </w:rPr>
        <w:t xml:space="preserve">ГЛАВА 7. ИНСТИТУЦИОНАЛЬНАЯ СТРУКТУРА</w:t>
      </w:r>
    </w:p>
    <w:p>
      <w:pPr>
        <w:spacing w:after="120"/>
        <w:jc w:val="both"/>
      </w:pPr>
      <w:r>
        <w:rPr>
          <w:rFonts w:ascii="Arial" w:cs="Arial" w:eastAsia="Arial" w:hAnsi="Arial"/>
          <w:b/>
          <w:bCs/>
          <w:sz w:val="24"/>
          <w:szCs w:val="24"/>
        </w:rPr>
        <w:t xml:space="preserve">7.1. Общая информация</w:t>
      </w:r>
    </w:p>
    <w:p>
      <w:pPr>
        <w:spacing w:after="120"/>
        <w:jc w:val="both"/>
      </w:pPr>
      <w:r>
        <w:rPr>
          <w:rFonts w:ascii="Arial" w:cs="Arial" w:eastAsia="Arial" w:hAnsi="Arial"/>
          <w:sz w:val="24"/>
          <w:szCs w:val="24"/>
        </w:rPr>
        <w:t xml:space="preserve">106. Реализация ПИЗП на разных этапах проектного цикла требует участия различных учреждений. Можно предположить, что МТИД КР/ГРИП уже приобрели достаточный опыт в реализации и управлении несколькими ПИЗП при реализации различных проектов, финансируемых донорами. Для контроля за осуществлением мероприятий по переселению в ГРИП имеются соответствующие специалисты по защитным мерам. В этом разделе рассматриваются роли и обязанности различных учреждений для успешной реализации ПИЗП. В данном процессе задействованы следующие учреждения:</w:t>
      </w:r>
    </w:p>
    <w:p>
      <w:pPr>
        <w:spacing w:after="120"/>
        <w:jc w:val="both"/>
      </w:pPr>
      <w:r>
        <w:rPr>
          <w:rFonts w:ascii="Arial" w:cs="Arial" w:eastAsia="Arial" w:hAnsi="Arial"/>
          <w:sz w:val="24"/>
          <w:szCs w:val="24"/>
        </w:rPr>
        <w:t xml:space="preserve">- Министерство транспорта и дорог КР (МТИД КР);</w:t>
      </w:r>
    </w:p>
    <w:p>
      <w:pPr>
        <w:spacing w:after="120"/>
        <w:jc w:val="both"/>
      </w:pPr>
      <w:r>
        <w:rPr>
          <w:rFonts w:ascii="Arial" w:cs="Arial" w:eastAsia="Arial" w:hAnsi="Arial"/>
          <w:sz w:val="24"/>
          <w:szCs w:val="24"/>
        </w:rPr>
        <w:t xml:space="preserve">- Евразийский банк развития (ЕАБР);</w:t>
      </w:r>
    </w:p>
    <w:p>
      <w:pPr>
        <w:spacing w:after="120"/>
        <w:jc w:val="both"/>
      </w:pPr>
      <w:r>
        <w:rPr>
          <w:rFonts w:ascii="Arial" w:cs="Arial" w:eastAsia="Arial" w:hAnsi="Arial"/>
          <w:sz w:val="24"/>
          <w:szCs w:val="24"/>
        </w:rPr>
        <w:t xml:space="preserve">- Группа реализации инвестиционных проектов (ГРИП);</w:t>
      </w:r>
    </w:p>
    <w:p>
      <w:pPr>
        <w:spacing w:after="120"/>
        <w:jc w:val="both"/>
      </w:pPr>
      <w:r>
        <w:rPr>
          <w:rFonts w:ascii="Arial" w:cs="Arial" w:eastAsia="Arial" w:hAnsi="Arial"/>
          <w:sz w:val="24"/>
          <w:szCs w:val="24"/>
        </w:rPr>
        <w:t xml:space="preserve">- Министерство финансов КР (МФ КР);</w:t>
      </w:r>
    </w:p>
    <w:p>
      <w:pPr>
        <w:spacing w:after="120"/>
        <w:jc w:val="both"/>
      </w:pPr>
      <w:r>
        <w:rPr>
          <w:rFonts w:ascii="Arial" w:cs="Arial" w:eastAsia="Arial" w:hAnsi="Arial"/>
          <w:sz w:val="24"/>
          <w:szCs w:val="24"/>
        </w:rPr>
        <w:t xml:space="preserve">- Комиссия по изъятию земли и переселению (КИЗП);</w:t>
      </w:r>
    </w:p>
    <w:p>
      <w:pPr>
        <w:spacing w:after="120"/>
        <w:jc w:val="both"/>
      </w:pPr>
      <w:r>
        <w:rPr>
          <w:rFonts w:ascii="Arial" w:cs="Arial" w:eastAsia="Arial" w:hAnsi="Arial"/>
          <w:sz w:val="24"/>
          <w:szCs w:val="24"/>
        </w:rPr>
        <w:t xml:space="preserve">- заинтересованные министерства;</w:t>
      </w:r>
    </w:p>
    <w:p>
      <w:pPr>
        <w:spacing w:after="120"/>
        <w:jc w:val="both"/>
      </w:pPr>
      <w:r>
        <w:rPr>
          <w:rFonts w:ascii="Arial" w:cs="Arial" w:eastAsia="Arial" w:hAnsi="Arial"/>
          <w:sz w:val="24"/>
          <w:szCs w:val="24"/>
        </w:rPr>
        <w:t xml:space="preserve">- соответствующие районы;</w:t>
      </w:r>
    </w:p>
    <w:p>
      <w:pPr>
        <w:spacing w:after="120"/>
        <w:jc w:val="both"/>
      </w:pPr>
      <w:r>
        <w:rPr>
          <w:rFonts w:ascii="Arial" w:cs="Arial" w:eastAsia="Arial" w:hAnsi="Arial"/>
          <w:sz w:val="24"/>
          <w:szCs w:val="24"/>
        </w:rPr>
        <w:t xml:space="preserve">- соответствующий муниципалитет;</w:t>
      </w:r>
    </w:p>
    <w:p>
      <w:pPr>
        <w:spacing w:after="120"/>
        <w:jc w:val="both"/>
      </w:pPr>
      <w:r>
        <w:rPr>
          <w:rFonts w:ascii="Arial" w:cs="Arial" w:eastAsia="Arial" w:hAnsi="Arial"/>
          <w:sz w:val="24"/>
          <w:szCs w:val="24"/>
        </w:rPr>
        <w:t xml:space="preserve">- Департамент дорожного хозяйства (ДДХ);</w:t>
      </w:r>
    </w:p>
    <w:p>
      <w:pPr>
        <w:spacing w:after="120"/>
        <w:jc w:val="both"/>
      </w:pPr>
      <w:r>
        <w:rPr>
          <w:rFonts w:ascii="Arial" w:cs="Arial" w:eastAsia="Arial" w:hAnsi="Arial"/>
          <w:sz w:val="24"/>
          <w:szCs w:val="24"/>
        </w:rPr>
        <w:t xml:space="preserve">- Консультант по строительному надзору (КСН);</w:t>
      </w:r>
    </w:p>
    <w:p>
      <w:pPr>
        <w:spacing w:after="120"/>
        <w:jc w:val="both"/>
      </w:pPr>
      <w:r>
        <w:rPr>
          <w:rFonts w:ascii="Arial" w:cs="Arial" w:eastAsia="Arial" w:hAnsi="Arial"/>
          <w:sz w:val="24"/>
          <w:szCs w:val="24"/>
        </w:rPr>
        <w:t xml:space="preserve">- Группа по рассмотрению жалоб (ГРЖ);</w:t>
      </w:r>
    </w:p>
    <w:p>
      <w:pPr>
        <w:spacing w:after="120"/>
        <w:jc w:val="both"/>
      </w:pPr>
      <w:r>
        <w:rPr>
          <w:rFonts w:ascii="Arial" w:cs="Arial" w:eastAsia="Arial" w:hAnsi="Arial"/>
          <w:sz w:val="24"/>
          <w:szCs w:val="24"/>
        </w:rPr>
        <w:t xml:space="preserve">- владельцы недвижимости и затронутые проектом люди.</w:t>
      </w:r>
    </w:p>
    <w:p>
      <w:pPr>
        <w:spacing w:after="120"/>
        <w:jc w:val="both"/>
      </w:pPr>
      <w:r>
        <w:rPr>
          <w:rFonts w:ascii="Arial" w:cs="Arial" w:eastAsia="Arial" w:hAnsi="Arial"/>
          <w:b/>
          <w:bCs/>
          <w:sz w:val="24"/>
          <w:szCs w:val="24"/>
        </w:rPr>
        <w:t xml:space="preserve">7.2. Исполнительное агентство</w:t>
      </w:r>
    </w:p>
    <w:p>
      <w:pPr>
        <w:spacing w:after="120"/>
        <w:jc w:val="both"/>
      </w:pPr>
      <w:r>
        <w:rPr>
          <w:rFonts w:ascii="Arial" w:cs="Arial" w:eastAsia="Arial" w:hAnsi="Arial"/>
          <w:sz w:val="24"/>
          <w:szCs w:val="24"/>
        </w:rPr>
        <w:t xml:space="preserve">107. МТИД КР, выступая в качестве Заказчика, является Исполнительным агентством (ИА). Министр или заместитель министра, а также представители ИА будут нести ответственность за общее решение на уровне политики, а также за планирование, реализацию и координацию деятельности проекта. ГРИП в рамках МТИД будет отвечать за общую координацию и реализацию ПИЗП. ГРИП осуществляет координацию сотрудничества с ЕАБР и со всеми учреждениями, участвующими в реализации ПИЗП: Министерством финансов КР (МФ КР), назначенными должностными лицами областного и районного уровней, а также КСН.</w:t>
      </w:r>
    </w:p>
    <w:p>
      <w:pPr>
        <w:spacing w:after="120"/>
        <w:jc w:val="both"/>
      </w:pPr>
      <w:r>
        <w:rPr>
          <w:rFonts w:ascii="Arial" w:cs="Arial" w:eastAsia="Arial" w:hAnsi="Arial"/>
          <w:sz w:val="24"/>
          <w:szCs w:val="24"/>
        </w:rPr>
        <w:t xml:space="preserve">7.3. Евразийский банк развития (ЕАБР)</w:t>
      </w:r>
    </w:p>
    <w:p>
      <w:pPr>
        <w:spacing w:after="120"/>
        <w:jc w:val="both"/>
      </w:pPr>
      <w:r>
        <w:rPr>
          <w:rFonts w:ascii="Arial" w:cs="Arial" w:eastAsia="Arial" w:hAnsi="Arial"/>
          <w:sz w:val="24"/>
          <w:szCs w:val="24"/>
        </w:rPr>
        <w:t xml:space="preserve">108. ЕАБР, выступая в качестве Управляющего средствами ЕФСР и финансирующего агентства, будет обеспечивать финансирование проекта в соответствии с Соглашением о предоставлении инвестиционного кредита из средств ЕФСР от 20 марта 2014 года, заключенного между Кыргызской Республикой и ЕАБР, за исключением деятельности по ИЗП. ЕАБР периодически будет осуществлять обзор общего хода реализации проекта, включая текущее состояние реализации ПИЗП. ЕАБР также предоставляет невозражение на начало строительных работ по проекту. К основным обязанностям ЕАБР на этапе реализации проекта, в том числе связанным с подготовкой и реализацией ПИЗП, относятся:</w:t>
      </w:r>
    </w:p>
    <w:p>
      <w:pPr>
        <w:spacing w:after="120"/>
        <w:jc w:val="both"/>
      </w:pPr>
      <w:r>
        <w:rPr>
          <w:rFonts w:ascii="Arial" w:cs="Arial" w:eastAsia="Arial" w:hAnsi="Arial"/>
          <w:sz w:val="24"/>
          <w:szCs w:val="24"/>
        </w:rPr>
        <w:t xml:space="preserve">(i) Рассмотрение (предоставление невозражения) Плана действий в рамках подготовки и реализации ПИЗП;</w:t>
      </w:r>
    </w:p>
    <w:p>
      <w:pPr>
        <w:spacing w:after="120"/>
        <w:jc w:val="both"/>
      </w:pPr>
      <w:r>
        <w:rPr>
          <w:rFonts w:ascii="Arial" w:cs="Arial" w:eastAsia="Arial" w:hAnsi="Arial"/>
          <w:sz w:val="24"/>
          <w:szCs w:val="24"/>
        </w:rPr>
        <w:t xml:space="preserve">(ii) Рассмотрение (предоставление невозражения) ПИЗП;</w:t>
      </w:r>
    </w:p>
    <w:p>
      <w:pPr>
        <w:spacing w:after="120"/>
        <w:jc w:val="both"/>
      </w:pPr>
      <w:r>
        <w:rPr>
          <w:rFonts w:ascii="Arial" w:cs="Arial" w:eastAsia="Arial" w:hAnsi="Arial"/>
          <w:sz w:val="24"/>
          <w:szCs w:val="24"/>
        </w:rPr>
        <w:t xml:space="preserve">(iii) Размещение ПИЗП на сайте ЕФСР;</w:t>
      </w:r>
    </w:p>
    <w:p>
      <w:pPr>
        <w:spacing w:after="120"/>
        <w:jc w:val="both"/>
      </w:pPr>
      <w:r>
        <w:rPr>
          <w:rFonts w:ascii="Arial" w:cs="Arial" w:eastAsia="Arial" w:hAnsi="Arial"/>
          <w:sz w:val="24"/>
          <w:szCs w:val="24"/>
        </w:rPr>
        <w:t xml:space="preserve">(iv) Рассмотрение (предоставление невозражения) Отчета о реализации ПИЗП; а также</w:t>
      </w:r>
    </w:p>
    <w:p>
      <w:pPr>
        <w:spacing w:after="120"/>
        <w:jc w:val="both"/>
      </w:pPr>
      <w:r>
        <w:rPr>
          <w:rFonts w:ascii="Arial" w:cs="Arial" w:eastAsia="Arial" w:hAnsi="Arial"/>
          <w:sz w:val="24"/>
          <w:szCs w:val="24"/>
        </w:rPr>
        <w:t xml:space="preserve">(v) Выпуск невозражения на Согласие на строительство.</w:t>
      </w:r>
    </w:p>
    <w:p>
      <w:pPr>
        <w:spacing w:after="120"/>
        <w:jc w:val="both"/>
      </w:pPr>
      <w:r>
        <w:rPr>
          <w:rFonts w:ascii="Arial" w:cs="Arial" w:eastAsia="Arial" w:hAnsi="Arial"/>
          <w:sz w:val="24"/>
          <w:szCs w:val="24"/>
        </w:rPr>
        <w:t xml:space="preserve">109. Институциональная структура в рамках реализации ИЗП изображена на рисунке 7.1. Кроме того, роли и обязанности различных агентств/групп, вовлеченных в реализацию ПИЗП, отражены в следующих подразделах настоящей главы.</w:t>
      </w:r>
    </w:p>
    <w:p>
      <w:pPr>
        <w:spacing w:after="120"/>
        <w:jc w:val="both"/>
      </w:pPr>
      <w:r>
        <w:rPr>
          <w:rFonts w:ascii="Arial" w:cs="Arial" w:eastAsia="Arial" w:hAnsi="Arial"/>
          <w:sz w:val="24"/>
          <w:szCs w:val="24"/>
        </w:rPr>
        <w:t xml:space="preserve">Рисунок 7.1: Институциональная структура в рамках реализации ПИЗП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Информация об основных участниках и их обязанности</w:t>
      </w:r>
    </w:p>
    <w:p>
      <w:pPr>
        <w:spacing w:after="120"/>
        <w:jc w:val="both"/>
      </w:pPr>
      <w:r>
        <w:rPr>
          <w:rFonts w:ascii="Arial" w:cs="Arial" w:eastAsia="Arial" w:hAnsi="Arial"/>
          <w:sz w:val="24"/>
          <w:szCs w:val="24"/>
        </w:rPr>
        <w:t xml:space="preserve">7.4.1. Группа реализации инвестиционных проектов (ГРИП)/МТИД</w:t>
      </w:r>
    </w:p>
    <w:p>
      <w:pPr>
        <w:spacing w:after="120"/>
        <w:jc w:val="both"/>
      </w:pPr>
      <w:r>
        <w:rPr>
          <w:rFonts w:ascii="Arial" w:cs="Arial" w:eastAsia="Arial" w:hAnsi="Arial"/>
          <w:sz w:val="24"/>
          <w:szCs w:val="24"/>
        </w:rPr>
        <w:t xml:space="preserve">110. МТИД КР является исполнительным агентством (ИА). Выступая в качестве эксперта, МТИД КР несет общую ответственность за реализацию проекта, а также за реализацию ПИЗП. В рамках МТИД КР была создана ГРИП(5) для управления реализацией всех проектов, финансируемых донорами. ГРИП возглавляет Директор. ГРИП также располагает отдельными командами для наблюдения за различными аспектами проекта и осуществления взаимодействия с заинтересованными сторонами. Эти команды контролируют технические и инженерные функции в рамках каждого контракта, юридические вопросы, юридическую экспертизу новых проектов, гарантии, финансы и управление, оценку, мониторинг и отчетность. ГРИП будет выступать в качестве исполнительного агентства проекта от имени МТИД КР.</w:t>
      </w:r>
    </w:p>
    <w:p>
      <w:pPr>
        <w:spacing w:after="120"/>
        <w:jc w:val="both"/>
      </w:pPr>
      <w:r>
        <w:rPr>
          <w:rFonts w:ascii="Arial" w:cs="Arial" w:eastAsia="Arial" w:hAnsi="Arial"/>
          <w:sz w:val="24"/>
          <w:szCs w:val="24"/>
        </w:rPr>
        <w:t xml:space="preserve">111. Основные обязанности МТИД/ГРИП:</w:t>
      </w:r>
    </w:p>
    <w:p>
      <w:pPr>
        <w:spacing w:after="120"/>
        <w:jc w:val="both"/>
      </w:pPr>
      <w:r>
        <w:rPr>
          <w:rFonts w:ascii="Arial" w:cs="Arial" w:eastAsia="Arial" w:hAnsi="Arial"/>
          <w:b/>
          <w:bCs/>
          <w:sz w:val="24"/>
          <w:szCs w:val="24"/>
        </w:rPr>
        <w:t xml:space="preserve">На стадии оформления кредита:</w:t>
      </w:r>
    </w:p>
    <w:p>
      <w:pPr>
        <w:spacing w:after="120"/>
        <w:jc w:val="both"/>
      </w:pPr>
      <w:r>
        <w:rPr>
          <w:rFonts w:ascii="Arial" w:cs="Arial" w:eastAsia="Arial" w:hAnsi="Arial"/>
          <w:sz w:val="24"/>
          <w:szCs w:val="24"/>
        </w:rPr>
        <w:t xml:space="preserve">- Включение требований по социальной защите в тендерную документацию для материально-технического обеспечения Консультанта;</w:t>
      </w:r>
    </w:p>
    <w:p>
      <w:pPr>
        <w:spacing w:after="120"/>
        <w:jc w:val="both"/>
      </w:pPr>
      <w:r>
        <w:rPr>
          <w:rFonts w:ascii="Arial" w:cs="Arial" w:eastAsia="Arial" w:hAnsi="Arial"/>
          <w:sz w:val="24"/>
          <w:szCs w:val="24"/>
        </w:rPr>
        <w:t xml:space="preserve">- Включение положений о социальной защите в кредитные соглашения;</w:t>
      </w:r>
    </w:p>
    <w:p>
      <w:pPr>
        <w:spacing w:after="120"/>
        <w:jc w:val="both"/>
      </w:pPr>
      <w:r>
        <w:rPr>
          <w:rFonts w:ascii="Arial" w:cs="Arial" w:eastAsia="Arial" w:hAnsi="Arial"/>
          <w:sz w:val="24"/>
          <w:szCs w:val="24"/>
        </w:rPr>
        <w:t xml:space="preserve">- Подготовка и реализация плана работ с обеспечением соблюдения объявленного крайнего срока получения компенсаций.</w:t>
      </w:r>
    </w:p>
    <w:p>
      <w:pPr>
        <w:spacing w:after="120"/>
        <w:jc w:val="both"/>
      </w:pPr>
      <w:r>
        <w:rPr>
          <w:rFonts w:ascii="Arial" w:cs="Arial" w:eastAsia="Arial" w:hAnsi="Arial"/>
          <w:b/>
          <w:bCs/>
          <w:sz w:val="24"/>
          <w:szCs w:val="24"/>
        </w:rPr>
        <w:t xml:space="preserve">На стадии реализации проекта:</w:t>
      </w:r>
    </w:p>
    <w:p>
      <w:pPr>
        <w:spacing w:after="120"/>
        <w:jc w:val="both"/>
      </w:pPr>
      <w:r>
        <w:rPr>
          <w:rFonts w:ascii="Arial" w:cs="Arial" w:eastAsia="Arial" w:hAnsi="Arial"/>
          <w:sz w:val="24"/>
          <w:szCs w:val="24"/>
        </w:rPr>
        <w:t xml:space="preserve">- Отбор и мобилизация консультанта по проектированию с одобренными национальными и международными специалистами по переселению и включение затрат и требований в рамках мероприятий по переселению в тендерную/контрактную документацию;</w:t>
      </w:r>
    </w:p>
    <w:p>
      <w:pPr>
        <w:spacing w:after="120"/>
        <w:jc w:val="both"/>
      </w:pPr>
      <w:r>
        <w:rPr>
          <w:rFonts w:ascii="Arial" w:cs="Arial" w:eastAsia="Arial" w:hAnsi="Arial"/>
          <w:sz w:val="24"/>
          <w:szCs w:val="24"/>
        </w:rPr>
        <w:t xml:space="preserve">- Подготовка и утверждение Плана действий ПИЗП;</w:t>
      </w:r>
    </w:p>
    <w:p>
      <w:pPr>
        <w:spacing w:after="120"/>
        <w:jc w:val="both"/>
      </w:pPr>
      <w:r>
        <w:rPr>
          <w:rFonts w:ascii="Arial" w:cs="Arial" w:eastAsia="Arial" w:hAnsi="Arial"/>
          <w:sz w:val="24"/>
          <w:szCs w:val="24"/>
        </w:rPr>
        <w:t xml:space="preserve">- Согласование ключевых механизмов реализации окончательного ПИЗП;</w:t>
      </w:r>
    </w:p>
    <w:p>
      <w:pPr>
        <w:spacing w:after="120"/>
        <w:jc w:val="both"/>
      </w:pPr>
      <w:r>
        <w:rPr>
          <w:rFonts w:ascii="Arial" w:cs="Arial" w:eastAsia="Arial" w:hAnsi="Arial"/>
          <w:sz w:val="24"/>
          <w:szCs w:val="24"/>
        </w:rPr>
        <w:t xml:space="preserve">- Привлечение КИЗП;</w:t>
      </w:r>
    </w:p>
    <w:p>
      <w:pPr>
        <w:spacing w:after="120"/>
        <w:jc w:val="both"/>
      </w:pPr>
      <w:r>
        <w:rPr>
          <w:rFonts w:ascii="Arial" w:cs="Arial" w:eastAsia="Arial" w:hAnsi="Arial"/>
          <w:sz w:val="24"/>
          <w:szCs w:val="24"/>
        </w:rPr>
        <w:t xml:space="preserve">- Выбор Консультанта для ДЗИ, Переписи, СЭИ и Оценки; проведение тренинга для КИЗП по вопросам ППЗМ АБР (2009 г.) и ИЗП;</w:t>
      </w:r>
    </w:p>
    <w:p>
      <w:pPr>
        <w:spacing w:after="120"/>
        <w:jc w:val="both"/>
      </w:pPr>
      <w:r>
        <w:rPr>
          <w:rFonts w:ascii="Arial" w:cs="Arial" w:eastAsia="Arial" w:hAnsi="Arial"/>
          <w:sz w:val="24"/>
          <w:szCs w:val="24"/>
        </w:rPr>
        <w:t xml:space="preserve">- Проведение общественных слушаний для местного населения;</w:t>
      </w:r>
    </w:p>
    <w:p>
      <w:pPr>
        <w:spacing w:after="120"/>
        <w:jc w:val="both"/>
      </w:pPr>
      <w:r>
        <w:rPr>
          <w:rFonts w:ascii="Arial" w:cs="Arial" w:eastAsia="Arial" w:hAnsi="Arial"/>
          <w:sz w:val="24"/>
          <w:szCs w:val="24"/>
        </w:rPr>
        <w:t xml:space="preserve">- Возобновление деятельности МРЖ с созданием ГРЖ/КРЖ и назначение координаторов;</w:t>
      </w:r>
    </w:p>
    <w:p>
      <w:pPr>
        <w:spacing w:after="120"/>
        <w:jc w:val="both"/>
      </w:pPr>
      <w:r>
        <w:rPr>
          <w:rFonts w:ascii="Arial" w:cs="Arial" w:eastAsia="Arial" w:hAnsi="Arial"/>
          <w:sz w:val="24"/>
          <w:szCs w:val="24"/>
        </w:rPr>
        <w:t xml:space="preserve">- Утверждение Отчета об оценке соответствующим органом/специалистами;</w:t>
      </w:r>
    </w:p>
    <w:p>
      <w:pPr>
        <w:spacing w:after="120"/>
        <w:jc w:val="both"/>
      </w:pPr>
      <w:r>
        <w:rPr>
          <w:rFonts w:ascii="Arial" w:cs="Arial" w:eastAsia="Arial" w:hAnsi="Arial"/>
          <w:sz w:val="24"/>
          <w:szCs w:val="24"/>
        </w:rPr>
        <w:t xml:space="preserve">- Содействие в процессах легализации;</w:t>
      </w:r>
    </w:p>
    <w:p>
      <w:pPr>
        <w:spacing w:after="120"/>
        <w:jc w:val="both"/>
      </w:pPr>
      <w:r>
        <w:rPr>
          <w:rFonts w:ascii="Arial" w:cs="Arial" w:eastAsia="Arial" w:hAnsi="Arial"/>
          <w:sz w:val="24"/>
          <w:szCs w:val="24"/>
        </w:rPr>
        <w:t xml:space="preserve">- Предоставление ЗЛ информации о суммах компенсации;</w:t>
      </w:r>
    </w:p>
    <w:p>
      <w:pPr>
        <w:spacing w:after="120"/>
        <w:jc w:val="both"/>
      </w:pPr>
      <w:r>
        <w:rPr>
          <w:rFonts w:ascii="Arial" w:cs="Arial" w:eastAsia="Arial" w:hAnsi="Arial"/>
          <w:sz w:val="24"/>
          <w:szCs w:val="24"/>
        </w:rPr>
        <w:t xml:space="preserve">- Представление и утверждение ПИЗП; предоставление информации о ПИЗП;</w:t>
      </w:r>
    </w:p>
    <w:p>
      <w:pPr>
        <w:spacing w:after="120"/>
        <w:jc w:val="both"/>
      </w:pPr>
      <w:r>
        <w:rPr>
          <w:rFonts w:ascii="Arial" w:cs="Arial" w:eastAsia="Arial" w:hAnsi="Arial"/>
          <w:sz w:val="24"/>
          <w:szCs w:val="24"/>
        </w:rPr>
        <w:t xml:space="preserve">- Реализация ПИЗП;</w:t>
      </w:r>
    </w:p>
    <w:p>
      <w:pPr>
        <w:spacing w:after="120"/>
        <w:jc w:val="both"/>
      </w:pPr>
      <w:r>
        <w:rPr>
          <w:rFonts w:ascii="Arial" w:cs="Arial" w:eastAsia="Arial" w:hAnsi="Arial"/>
          <w:sz w:val="24"/>
          <w:szCs w:val="24"/>
        </w:rPr>
        <w:t xml:space="preserve">- Мониторинг и отчетность по реализации ПИЗП;</w:t>
      </w:r>
    </w:p>
    <w:p>
      <w:pPr>
        <w:spacing w:after="120"/>
        <w:jc w:val="both"/>
      </w:pPr>
      <w:r>
        <w:rPr>
          <w:rFonts w:ascii="Arial" w:cs="Arial" w:eastAsia="Arial" w:hAnsi="Arial"/>
          <w:sz w:val="24"/>
          <w:szCs w:val="24"/>
        </w:rPr>
        <w:t xml:space="preserve">- Подготовка отчета о реализации ПИЗП для рассмотрения ЕАБР;</w:t>
      </w:r>
    </w:p>
    <w:p>
      <w:pPr>
        <w:spacing w:after="120"/>
        <w:jc w:val="both"/>
      </w:pPr>
      <w:r>
        <w:rPr>
          <w:rFonts w:ascii="Arial" w:cs="Arial" w:eastAsia="Arial" w:hAnsi="Arial"/>
          <w:sz w:val="24"/>
          <w:szCs w:val="24"/>
        </w:rPr>
        <w:t xml:space="preserve">- Передача подрядчику участков с воздействием для строительства.</w:t>
      </w:r>
    </w:p>
    <w:p>
      <w:pPr>
        <w:spacing w:after="120"/>
        <w:jc w:val="both"/>
      </w:pPr>
      <w:r>
        <w:rPr>
          <w:rFonts w:ascii="Arial" w:cs="Arial" w:eastAsia="Arial" w:hAnsi="Arial"/>
          <w:b/>
          <w:bCs/>
          <w:sz w:val="24"/>
          <w:szCs w:val="24"/>
        </w:rPr>
        <w:t xml:space="preserve">7.4.2. Консультанты</w:t>
      </w:r>
    </w:p>
    <w:p>
      <w:pPr>
        <w:spacing w:after="120"/>
        <w:jc w:val="both"/>
      </w:pPr>
      <w:r>
        <w:rPr>
          <w:rFonts w:ascii="Arial" w:cs="Arial" w:eastAsia="Arial" w:hAnsi="Arial"/>
          <w:sz w:val="24"/>
          <w:szCs w:val="24"/>
        </w:rPr>
        <w:t xml:space="preserve">112. На стадии ТЭО АБР задействовал компанию "Kocks Consult GmbH". Она подготовила предварительную оценку ИЗП, которая была включена в грантовый компонент Соглашения о финансировании. В ходе реализации проекта МТИД КР мобилизовало КСН в качестве КСН. Обязанность Консультанта (КСН) заключается в подготовке/окончательной доработке ПИЗП на основе предоставленных данных и информации, принимая во внимание изменения в проектировании дороги. Еще одной задачей консультантов КСН является мобилизация своих специалистов по переселению (НСП и МСП) для выполнения ими своих обязанностей, связанных с И3П. Основные задачи Специалистов по переселению состоят в:</w:t>
      </w:r>
    </w:p>
    <w:p>
      <w:pPr>
        <w:spacing w:after="120"/>
        <w:jc w:val="both"/>
      </w:pPr>
      <w:r>
        <w:rPr>
          <w:rFonts w:ascii="Arial" w:cs="Arial" w:eastAsia="Arial" w:hAnsi="Arial"/>
          <w:sz w:val="24"/>
          <w:szCs w:val="24"/>
        </w:rPr>
        <w:t xml:space="preserve">- Подготовке к реализации готового ПИЗП и представлении его на рассмотрение в ЕАБР (результат - предоставление невозражения) и последующее утверждение в МТИД КР.</w:t>
      </w:r>
    </w:p>
    <w:p>
      <w:pPr>
        <w:spacing w:after="120"/>
        <w:jc w:val="both"/>
      </w:pPr>
      <w:r>
        <w:rPr>
          <w:rFonts w:ascii="Arial" w:cs="Arial" w:eastAsia="Arial" w:hAnsi="Arial"/>
          <w:sz w:val="24"/>
          <w:szCs w:val="24"/>
        </w:rPr>
        <w:t xml:space="preserve">- Проведении общественных слушаний.</w:t>
      </w:r>
    </w:p>
    <w:p>
      <w:pPr>
        <w:spacing w:after="120"/>
        <w:jc w:val="both"/>
      </w:pPr>
      <w:r>
        <w:rPr>
          <w:rFonts w:ascii="Arial" w:cs="Arial" w:eastAsia="Arial" w:hAnsi="Arial"/>
          <w:sz w:val="24"/>
          <w:szCs w:val="24"/>
        </w:rPr>
        <w:t xml:space="preserve">- Поддержании и координации взаимодействия с задействованными в проекте органами, занимающимися вопросами ИЗП, включая КИЗП, оценочное агентство, районные/местные органы власти.</w:t>
      </w:r>
    </w:p>
    <w:p>
      <w:pPr>
        <w:spacing w:after="120"/>
        <w:jc w:val="both"/>
      </w:pPr>
      <w:r>
        <w:rPr>
          <w:rFonts w:ascii="Arial" w:cs="Arial" w:eastAsia="Arial" w:hAnsi="Arial"/>
          <w:sz w:val="24"/>
          <w:szCs w:val="24"/>
        </w:rPr>
        <w:t xml:space="preserve">- Содействии ГРИП в проведении мониторинга и подготовке отчетности о реализации ПИЗП.</w:t>
      </w:r>
    </w:p>
    <w:p>
      <w:pPr>
        <w:spacing w:after="120"/>
        <w:jc w:val="both"/>
      </w:pPr>
      <w:r>
        <w:rPr>
          <w:rFonts w:ascii="Arial" w:cs="Arial" w:eastAsia="Arial" w:hAnsi="Arial"/>
          <w:b/>
          <w:bCs/>
          <w:sz w:val="24"/>
          <w:szCs w:val="24"/>
        </w:rPr>
        <w:t xml:space="preserve">7.4.3. Министерство финансов</w:t>
      </w:r>
    </w:p>
    <w:p>
      <w:pPr>
        <w:spacing w:after="120"/>
        <w:jc w:val="both"/>
      </w:pPr>
      <w:r>
        <w:rPr>
          <w:rFonts w:ascii="Arial" w:cs="Arial" w:eastAsia="Arial" w:hAnsi="Arial"/>
          <w:sz w:val="24"/>
          <w:szCs w:val="24"/>
        </w:rPr>
        <w:t xml:space="preserve">113. Министерство финансов КР выделит средства, необходимые для выплаты компенсаций ЗЛ в рамках проекта, которые будут выплачены через МТИД КР.</w:t>
      </w:r>
    </w:p>
    <w:p>
      <w:pPr>
        <w:spacing w:after="120"/>
        <w:jc w:val="both"/>
      </w:pPr>
      <w:r>
        <w:rPr>
          <w:rFonts w:ascii="Arial" w:cs="Arial" w:eastAsia="Arial" w:hAnsi="Arial"/>
          <w:b/>
          <w:bCs/>
          <w:sz w:val="24"/>
          <w:szCs w:val="24"/>
        </w:rPr>
        <w:t xml:space="preserve">7.4.4. Комиссия по ИЗП</w:t>
      </w:r>
    </w:p>
    <w:p>
      <w:pPr>
        <w:spacing w:after="120"/>
        <w:jc w:val="both"/>
      </w:pPr>
      <w:r>
        <w:rPr>
          <w:rFonts w:ascii="Arial" w:cs="Arial" w:eastAsia="Arial" w:hAnsi="Arial"/>
          <w:sz w:val="24"/>
          <w:szCs w:val="24"/>
        </w:rPr>
        <w:t xml:space="preserve">114. Комиссия по ИЗП уже была официально сформирована в рамках данного проекта во всех затрагиваемых районах в соответствии с приказами районных государственных администраций. Основная ответственность КИЗП заключается в оказании помощи МТИД КР в реализации мероприятий по ИЗП и связанных с ними вопросов проекта. К другим ролям КИЗП относятся: (i) участие в общественных слушаниях (ii) содействие ГРИП в проведении внутреннего мониторинга; (iii) участие в МРЖ, содействие решению проблем; а также (iv) содействие в очистке поверхности земли полосы отвода после реализации ИЗП.</w:t>
      </w:r>
    </w:p>
    <w:p>
      <w:pPr>
        <w:spacing w:after="120"/>
        <w:jc w:val="both"/>
      </w:pPr>
      <w:r>
        <w:rPr>
          <w:rFonts w:ascii="Arial" w:cs="Arial" w:eastAsia="Arial" w:hAnsi="Arial"/>
          <w:b/>
          <w:bCs/>
          <w:sz w:val="24"/>
          <w:szCs w:val="24"/>
        </w:rPr>
        <w:t xml:space="preserve">7.4.5. Группа по рассмотрению жалоб (ГРЖ)</w:t>
      </w:r>
    </w:p>
    <w:p>
      <w:pPr>
        <w:spacing w:after="120"/>
        <w:jc w:val="both"/>
      </w:pPr>
      <w:r>
        <w:rPr>
          <w:rFonts w:ascii="Arial" w:cs="Arial" w:eastAsia="Arial" w:hAnsi="Arial"/>
          <w:sz w:val="24"/>
          <w:szCs w:val="24"/>
        </w:rPr>
        <w:t xml:space="preserve">115. ГРЖ уже созданы в рамках данного проекта. Основными задачами МРЖ являются урегулирование всех жалоб, полученных от людей, попавших под воздействие ИЗП. Любые жалобы со стороны ЗЛ во время реализации и строительства ПИЗП будут регистрироваться и рассматриваться ГРЖ. Информация о работе ГРЖ, включая вопросы ее формирования, обязанности и процесс разрешения жалоб, изложены в следующей Главе 8.</w:t>
      </w:r>
    </w:p>
    <w:p>
      <w:pPr>
        <w:spacing w:after="120"/>
        <w:jc w:val="both"/>
      </w:pPr>
      <w:r>
        <w:rPr>
          <w:rFonts w:ascii="Arial" w:cs="Arial" w:eastAsia="Arial" w:hAnsi="Arial"/>
          <w:b/>
          <w:bCs/>
          <w:sz w:val="24"/>
          <w:szCs w:val="24"/>
        </w:rPr>
        <w:t xml:space="preserve">ГЛАВА 8. МЕХАНИЗМ РАССМОТРЕНИЯ ЖАЛОБ (МРЖ)</w:t>
      </w:r>
    </w:p>
    <w:p>
      <w:pPr>
        <w:spacing w:after="120"/>
        <w:jc w:val="both"/>
      </w:pPr>
      <w:r>
        <w:rPr>
          <w:rFonts w:ascii="Arial" w:cs="Arial" w:eastAsia="Arial" w:hAnsi="Arial"/>
          <w:b/>
          <w:bCs/>
          <w:sz w:val="24"/>
          <w:szCs w:val="24"/>
        </w:rPr>
        <w:t xml:space="preserve">8.1. Общая информация</w:t>
      </w:r>
    </w:p>
    <w:p>
      <w:pPr>
        <w:spacing w:after="120"/>
        <w:jc w:val="both"/>
      </w:pPr>
      <w:r>
        <w:rPr>
          <w:rFonts w:ascii="Arial" w:cs="Arial" w:eastAsia="Arial" w:hAnsi="Arial"/>
          <w:sz w:val="24"/>
          <w:szCs w:val="24"/>
        </w:rPr>
        <w:t xml:space="preserve">116. Механизм рассмотрения жалоб (МРЖ) - это процесс и платформа, представляющий собой надежный способ для ЗЛ проинформировать о своих проблемах, связанных с ИЗП, а также эффективным методом решения проблем затронутых проектом людей. МРЖ является необходимым механизмом, который заказчик должен задействовать в ходе реализации любых проектов, финансируемых донорами. Целью МРЖ является эффективное и своевременное решение проблем/претензий ЗЛ/людей, если таковые имеются. Основной целью МРЖ является взаимодействие в ходе реализации проекта между соответствующим министерством ("Заказчиком"), местными органами власти и гражданским обществом, включая людей, затронутых проектом, таким образом, обеспечивая прозрачность и ответственность при решении различных проблем и претензий, связанных с проектом. В рамках МРЖ ЗЛ и местные жители имеют право подавать жалобы и/или запросы по любому аспекту проекта, включая ИЗП, экологические и другие вопросы социальной защиты. Посредством МРЖ люди могут обжаловать любые неблагоприятные решения, практику или действия, связанные с проектом. Для обеспечения возможности всем затронутым и другим лицам представления своих жалоб необходимо задействовать все возможные и доступные средства связи.</w:t>
      </w:r>
    </w:p>
    <w:p>
      <w:pPr>
        <w:spacing w:after="120"/>
        <w:jc w:val="both"/>
      </w:pPr>
      <w:r>
        <w:rPr>
          <w:rFonts w:ascii="Arial" w:cs="Arial" w:eastAsia="Arial" w:hAnsi="Arial"/>
          <w:sz w:val="24"/>
          <w:szCs w:val="24"/>
        </w:rPr>
        <w:t xml:space="preserve">117. Что касается настоящего проекта, то формирование ГРЖ в рамках МРЖ было одобрено МТИД КР на основании приказа № 45 от 12 февраля 2020 года и в тот же день процедуры МРЖ также были утверждены на центральном и местном уровнях на основании приказа № 46. Согласно приказу МТИД, МРЖ и ГРЖ были сформированы и введены в действие в рамках данного проекта, о чем сообщалось ЗЛ и местным жителям в ходе общественных слушаний на разных этапах проекта, а также "айыльным аймаком" (административно-территориальная единица села). Сведения о Приказах, связанных с формированием МРЖ и ГРЖ, обязанностями членов ГРЖ и т.д. изложены в Приложении 4 настоящего ПИЗП.</w:t>
      </w:r>
    </w:p>
    <w:p>
      <w:pPr>
        <w:spacing w:after="120"/>
        <w:jc w:val="both"/>
      </w:pPr>
      <w:r>
        <w:rPr>
          <w:rFonts w:ascii="Arial" w:cs="Arial" w:eastAsia="Arial" w:hAnsi="Arial"/>
          <w:sz w:val="24"/>
          <w:szCs w:val="24"/>
        </w:rPr>
        <w:t xml:space="preserve">118. В рамках МРЖ ГРИП обеспечит своевременное и эффективное рассмотрение жалоб и претензий по любому аспекту проекта. Механизм рассмотрения жалоб должен быть соразмерен рискам и неблагоприятным воздействиям проекта. Он должен оперативно реагировать на проблемы и жалобы затронутых проектом и перемещенных лиц посредством доступного и прозрачного процесса с учетом гендерных аспектов, соответствующих культурным условиям, а также должен быть легко доступным для всех сегментов затронутых проектом людей без каких-либо затрат. Механизм разработан таким образом, чтобы не препятствовать доступу к существующим судебным или административным средствам правовой защиты. ЗЛ должны быть соответствующим образом проинформированы о механизме. В соответствии с законодательством Кыргызской Республики по ИЗП, в случае если частные земельные владения и недвижимость приобретаются для общественных целей, таких как развитие дорог и другой инфраструктуры, владельцу выплачивается компенсация в зависимости от категории и местоположения затронутой земли, а также стоимости земли и недвижимости. МРЖ - это процесс, в рамках которого заявитель может выразить любые недовольства, связанные с процессом изъятия земли, которые в основном имеют отношение к результатам оценки и пакету компенсационных выплат. В связи с этим, ЗЛ может подать жалобу в ГРЖ для ее надлежащего урегулирования в соответствии с положениями МРЖ.</w:t>
      </w:r>
    </w:p>
    <w:p>
      <w:pPr>
        <w:spacing w:after="120"/>
        <w:jc w:val="both"/>
      </w:pPr>
      <w:r>
        <w:rPr>
          <w:rFonts w:ascii="Arial" w:cs="Arial" w:eastAsia="Arial" w:hAnsi="Arial"/>
          <w:b/>
          <w:bCs/>
          <w:sz w:val="24"/>
          <w:szCs w:val="24"/>
        </w:rPr>
        <w:t xml:space="preserve">8.2. Цели МРЖ</w:t>
      </w:r>
    </w:p>
    <w:p>
      <w:pPr>
        <w:spacing w:after="120"/>
        <w:jc w:val="both"/>
      </w:pPr>
      <w:r>
        <w:rPr>
          <w:rFonts w:ascii="Arial" w:cs="Arial" w:eastAsia="Arial" w:hAnsi="Arial"/>
          <w:sz w:val="24"/>
          <w:szCs w:val="24"/>
        </w:rPr>
        <w:t xml:space="preserve">119. К основным целям МРЖ относятся:</w:t>
      </w:r>
    </w:p>
    <w:p>
      <w:pPr>
        <w:spacing w:after="120"/>
        <w:jc w:val="both"/>
      </w:pPr>
      <w:r>
        <w:rPr>
          <w:rFonts w:ascii="Arial" w:cs="Arial" w:eastAsia="Arial" w:hAnsi="Arial"/>
          <w:sz w:val="24"/>
          <w:szCs w:val="24"/>
        </w:rPr>
        <w:t xml:space="preserve">- достижение взаимосогласованных решений, удовлетворительных как для проекта, так и для ЗЛ, и разрешение любых жалоб на местах по консультации с затронутой стороной;</w:t>
      </w:r>
    </w:p>
    <w:p>
      <w:pPr>
        <w:spacing w:after="120"/>
        <w:jc w:val="both"/>
      </w:pPr>
      <w:r>
        <w:rPr>
          <w:rFonts w:ascii="Arial" w:cs="Arial" w:eastAsia="Arial" w:hAnsi="Arial"/>
          <w:sz w:val="24"/>
          <w:szCs w:val="24"/>
        </w:rPr>
        <w:t xml:space="preserve">- содействие беспрепятственной реализации ПИЗП, в частности, предотвращение длительных судебных процессов и задержек в реализации проекта; а также</w:t>
      </w:r>
    </w:p>
    <w:p>
      <w:pPr>
        <w:spacing w:after="120"/>
        <w:jc w:val="both"/>
      </w:pPr>
      <w:r>
        <w:rPr>
          <w:rFonts w:ascii="Arial" w:cs="Arial" w:eastAsia="Arial" w:hAnsi="Arial"/>
          <w:sz w:val="24"/>
          <w:szCs w:val="24"/>
        </w:rPr>
        <w:t xml:space="preserve">- содействие процессу развития на местном уровне при сохранении прозрачности и подотчетности в отношении затронутых проектом людей, включая лиц с ограниченными возможностями здоровья и малограмотными представителями местных сообществ.</w:t>
      </w:r>
    </w:p>
    <w:p>
      <w:pPr>
        <w:spacing w:after="120"/>
        <w:jc w:val="both"/>
      </w:pPr>
      <w:r>
        <w:rPr>
          <w:rFonts w:ascii="Arial" w:cs="Arial" w:eastAsia="Arial" w:hAnsi="Arial"/>
          <w:sz w:val="24"/>
          <w:szCs w:val="24"/>
        </w:rPr>
        <w:t xml:space="preserve">120. Механизм предполагает процесс рассмотрения жалоб на двух уровнях - один на местном уровне ("айылный аймак" (сельская административно-территориальная единица)) и другой на центральном уровне (ГРИП). На каждом уровне были созданы группы по рассмотрению жалоб (ГРЖ). Основная роль и обязанности ГРЖ заключаются в приеме претензий и жалоб, оценке их обоснованности, определении масштабов возможных последствий и своевременном решении проблемы, включая претензии в отношении компенсаций, а также в поддержании гибкости и эффективности МРЖ в решении и урегулировании претензий как во время реализации ПИЗП, так и самого проекта. МРЖ охватывает вопросы, связанные с социальными, экологическими и другими аспектами безопасности в соответствии с соглашениями о социальной защите АБР и законами Кыргызской Республики.</w:t>
      </w:r>
    </w:p>
    <w:p>
      <w:pPr>
        <w:spacing w:after="120"/>
        <w:jc w:val="both"/>
      </w:pPr>
      <w:r>
        <w:rPr>
          <w:rFonts w:ascii="Arial" w:cs="Arial" w:eastAsia="Arial" w:hAnsi="Arial"/>
          <w:b/>
          <w:bCs/>
          <w:sz w:val="24"/>
          <w:szCs w:val="24"/>
        </w:rPr>
        <w:t xml:space="preserve">8.3. Группы по рассмотрению жалоб (ГРЖ)</w:t>
      </w:r>
    </w:p>
    <w:p>
      <w:pPr>
        <w:spacing w:after="120"/>
        <w:jc w:val="both"/>
      </w:pPr>
      <w:r>
        <w:rPr>
          <w:rFonts w:ascii="Arial" w:cs="Arial" w:eastAsia="Arial" w:hAnsi="Arial"/>
          <w:sz w:val="24"/>
          <w:szCs w:val="24"/>
        </w:rPr>
        <w:t xml:space="preserve">121. Группы по рассмотрению жалоб (ГРЖ) были сформированы как на местном, так и на центральном уровнях на основании приказов МТИД КР № 45 и 46 в соответствии с положениями МРЖ от 12 февраля 2020 года. ГРЖ будут функционировать как в период реализации ПИЗП, так и самого проекта. В каждом затронутом "айылном аймаке" (административно-территориальная единица села) действует по одной местной ГРЖ), в то время как центральная ГРЖ находится в ГРИП/МТИД КР в г.Бишкек. Подробная информация о формировании и ответственности ГРЖ согласно вышеуказанному официальному приказу МТИД КР изложена в Приложении 4 настоящего ПИЗП.</w:t>
      </w:r>
    </w:p>
    <w:p>
      <w:pPr>
        <w:spacing w:after="120"/>
        <w:jc w:val="both"/>
      </w:pPr>
      <w:r>
        <w:rPr>
          <w:rFonts w:ascii="Arial" w:cs="Arial" w:eastAsia="Arial" w:hAnsi="Arial"/>
          <w:sz w:val="24"/>
          <w:szCs w:val="24"/>
        </w:rPr>
        <w:t xml:space="preserve">122. Конкретные функции МРЖ включают следующее:</w:t>
      </w:r>
    </w:p>
    <w:p>
      <w:pPr>
        <w:spacing w:after="120"/>
        <w:jc w:val="both"/>
      </w:pPr>
      <w:r>
        <w:rPr>
          <w:rFonts w:ascii="Arial" w:cs="Arial" w:eastAsia="Arial" w:hAnsi="Arial"/>
          <w:sz w:val="24"/>
          <w:szCs w:val="24"/>
        </w:rPr>
        <w:t xml:space="preserve">- обеспечение поддержки ЗЛ в урегулировании их проблем, возникающих в связи с изъятием земли/собственности, таких как присуждение компенсационных выплат и оценка активов;</w:t>
      </w:r>
    </w:p>
    <w:p>
      <w:pPr>
        <w:spacing w:after="120"/>
        <w:jc w:val="both"/>
      </w:pPr>
      <w:r>
        <w:rPr>
          <w:rFonts w:ascii="Arial" w:cs="Arial" w:eastAsia="Arial" w:hAnsi="Arial"/>
          <w:sz w:val="24"/>
          <w:szCs w:val="24"/>
        </w:rPr>
        <w:t xml:space="preserve">- регистрация жалоб ЗЛ, их классификация и приоритезация, а также их урегулирование в течение определенного периода времени, указанного в Приказе МТИД КР;</w:t>
      </w:r>
    </w:p>
    <w:p>
      <w:pPr>
        <w:spacing w:after="120"/>
        <w:jc w:val="both"/>
      </w:pPr>
      <w:r>
        <w:rPr>
          <w:rFonts w:ascii="Arial" w:cs="Arial" w:eastAsia="Arial" w:hAnsi="Arial"/>
          <w:sz w:val="24"/>
          <w:szCs w:val="24"/>
        </w:rPr>
        <w:t xml:space="preserve">- информирование ГРИП о серьезных случаях в надлежащие сроки; а также</w:t>
      </w:r>
    </w:p>
    <w:p>
      <w:pPr>
        <w:spacing w:after="120"/>
        <w:jc w:val="both"/>
      </w:pPr>
      <w:r>
        <w:rPr>
          <w:rFonts w:ascii="Arial" w:cs="Arial" w:eastAsia="Arial" w:hAnsi="Arial"/>
          <w:sz w:val="24"/>
          <w:szCs w:val="24"/>
        </w:rPr>
        <w:t xml:space="preserve">- информирование заявителей о периодических изменениях/ходе рассмотрения их жалоб и решении ГРИП.</w:t>
      </w:r>
    </w:p>
    <w:p>
      <w:pPr>
        <w:spacing w:after="120"/>
        <w:jc w:val="both"/>
      </w:pPr>
      <w:r>
        <w:rPr>
          <w:rFonts w:ascii="Arial" w:cs="Arial" w:eastAsia="Arial" w:hAnsi="Arial"/>
          <w:sz w:val="24"/>
          <w:szCs w:val="24"/>
        </w:rPr>
        <w:t xml:space="preserve">123. Информация о формировании и составе местных ГРЖ приведена ниже в таблице 8.1. Кроме того, порядок формирования ГРЖ, состав, обязанности и ответственность членов ГРЖ изложены в приложении № 4 официальных приказов № 45 и 46.</w:t>
      </w:r>
    </w:p>
    <w:p>
      <w:pPr>
        <w:spacing w:after="120"/>
        <w:jc w:val="both"/>
      </w:pPr>
      <w:r>
        <w:rPr>
          <w:rFonts w:ascii="Arial" w:cs="Arial" w:eastAsia="Arial" w:hAnsi="Arial"/>
          <w:b/>
          <w:bCs/>
          <w:sz w:val="24"/>
          <w:szCs w:val="24"/>
        </w:rPr>
        <w:t xml:space="preserve">Таблица 8.1: Состав местных ГРЖ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709"/>
        <w:gridCol w:w="2948"/>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w:t>
            </w:r>
          </w:p>
        </w:tc>
        <w:tc>
          <w:tcPr>
            <w:tcW w:type="dxa" w:w="2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постоянного инженера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контролю качества,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руководителя группы (АРГ)</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"айылного аймака" (сельская административно-территориальная единица)</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Местное контактное лицо (МКЛ)</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ДЭУ-22 (Дорожно-эксплуатационное управление) Государственной дирекции автомобильной дороги Бишкек-Ош</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заказчика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переселению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Эколог/Специалист по окружающей среде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домохозяйств, напрямую или косвенно попавших под воздействие Проекта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НПО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Наблюдатели за работой Группы на местном уровне</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Омбудсмена Жалал-Абадской области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Общественного наблюдательного совета при МТИД Кыргызской Республики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координатор ГРИП при МТИД Кыргызской Республики</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bl>
    <w:p>
      <w:pPr>
        <w:spacing w:after="120"/>
        <w:jc w:val="both"/>
      </w:pPr>
      <w:r>
        <w:rPr>
          <w:rFonts w:ascii="Arial" w:cs="Arial" w:eastAsia="Arial" w:hAnsi="Arial"/>
          <w:sz w:val="24"/>
          <w:szCs w:val="24"/>
        </w:rPr>
        <w:t xml:space="preserve">124. ГРЖ центрального уровня состоит из восьми членов (таблица 8.2). Формирование и состав ГРЖ на центральном уровне указаны ниже. Обязанности и ответственность ГРЖ центрального уровня изложены в официальных приказах № 45 и 46 и в Приложении № 4 настоящего ПИЗП.</w:t>
      </w:r>
    </w:p>
    <w:p>
      <w:pPr>
        <w:spacing w:after="120"/>
        <w:jc w:val="both"/>
      </w:pPr>
      <w:r>
        <w:rPr>
          <w:rFonts w:ascii="Arial" w:cs="Arial" w:eastAsia="Arial" w:hAnsi="Arial"/>
          <w:b/>
          <w:bCs/>
          <w:sz w:val="24"/>
          <w:szCs w:val="24"/>
        </w:rPr>
        <w:t xml:space="preserve">Таблица 8.2: Состав центральной ГРЖ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7051"/>
        <w:gridCol w:w="2616"/>
      </w:tblGrid>
      <w:tr>
        <w:tc>
          <w:tcPr>
            <w:tcW w:type="dxa" w:w="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w:t>
            </w:r>
          </w:p>
        </w:tc>
        <w:tc>
          <w:tcPr>
            <w:tcW w:type="dxa" w:w="26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ГРИП МТИД Кыргызской Республики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координатор ГРИП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ГРИП по окружающей среде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ДЭУ-22 Государственной дирекции автомобильной дороги Бишкек-Ош</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заказчика</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защитным мерам/социолог ГРИП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Омбудсмена Жалал-Абадской области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ОНС при МТИД Кыргызской Республики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неправительственных организаций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bl>
    <w:p>
      <w:pPr>
        <w:spacing w:after="120"/>
        <w:jc w:val="both"/>
      </w:pPr>
      <w:r>
        <w:rPr>
          <w:rFonts w:ascii="Arial" w:cs="Arial" w:eastAsia="Arial" w:hAnsi="Arial"/>
          <w:b/>
          <w:bCs/>
          <w:sz w:val="24"/>
          <w:szCs w:val="24"/>
        </w:rPr>
        <w:t xml:space="preserve">8.4. Процесс рассмотрения жалоб</w:t>
      </w:r>
    </w:p>
    <w:p>
      <w:pPr>
        <w:spacing w:after="120"/>
        <w:jc w:val="both"/>
      </w:pPr>
      <w:r>
        <w:rPr>
          <w:rFonts w:ascii="Arial" w:cs="Arial" w:eastAsia="Arial" w:hAnsi="Arial"/>
          <w:sz w:val="24"/>
          <w:szCs w:val="24"/>
        </w:rPr>
        <w:t xml:space="preserve">125. Жалобы и претензии ЗЛ будут рассматриваться посредством процедуры, изображенной на рисунке 8.1, подробное описание которой представлено в таблице 8.3. ЗЛ, а также другие ЗДХ будут постоянно иметь доступ к МКЛ и ГРЖ. На местах проводится и будет проводиться постоянная информационная кампания по информированию представителей местных сообществ о МРЖ и местных контактных лицах. Перед началом реализации ПИЗП будут проводиться групповые и индивидуальные встречи с затронутыми лицами и заинтересованными сторонами. Кроме того, при подаче жалоб и претензий особое внимание будет уделено лицам, с ограниченными возможностями здоровья, женщинам главам домохозяйств и малограмотным представителям местных сообществ посредством создания доступного канала подачи жалоб через социальных работников. Местные контактные лица по необходимости будут оказывать содействие в оформлении необходимой жалобы. Представители органов местного самоуправления совместно с ГРИП и другими заинтересованными сторонами будут осуществлять постоянный мониторинг за процессом деятельности МРЖ.</w:t>
      </w:r>
    </w:p>
    <w:p>
      <w:pPr>
        <w:spacing w:after="120"/>
        <w:jc w:val="both"/>
      </w:pPr>
      <w:r>
        <w:rPr>
          <w:rFonts w:ascii="Arial" w:cs="Arial" w:eastAsia="Arial" w:hAnsi="Arial"/>
          <w:sz w:val="24"/>
          <w:szCs w:val="24"/>
        </w:rPr>
        <w:t xml:space="preserve">126. Сначала жалобы будут подаваться на уровне села/сообщества истца. Истец сообщит о жалобе местному контактному лицу (МКЛ). Обращение по желанию заявителя могут быть поданы в устной (в том числе по телефону), письменной и если имеется возможность, то и по электронной почте. МКЛ будет помогать истцу/истцам официально подавать свои жалобы в ГРЖ. МКЛ зарегистрирует жалобу и проверит ее правомочность; если жалоба правомочна, МКЛ организует встречу местной Группы рассмотрения жалоб (ГРЖ). ГРЖ оценит ситуацию и начнет искать решение путем консультаций с истцами. На этом этапе ГРЖ должна попытаться разрешить жалобу в течение 10 рабочих дней со дня подачи жалобы. При необходимости должны быть подготовлены, рассмотрены и оценены все подтверждающие документы, такие как, фотографии, необходимые сертификаты, юридические и технические экспертные заключения. После того, как жалоба будет решена, ГРЖ организует встречу для закрытия жалобы, где истец/истцы подтвердит/подтвердят закрытие жалобы. Представитель ГРИП будет курировать процесс разрешения жалобы. Для обсуждения на местном уровне будут проводиться встречи в селе истца. В случае поступления сложной жалобы, где требуются заключения экспертов, может быть выделено дополнительное время. Об этом будет четко сообщено истцу/истцам.</w:t>
      </w:r>
    </w:p>
    <w:p>
      <w:pPr>
        <w:spacing w:after="120"/>
        <w:jc w:val="both"/>
      </w:pPr>
      <w:r>
        <w:rPr>
          <w:rFonts w:ascii="Arial" w:cs="Arial" w:eastAsia="Arial" w:hAnsi="Arial"/>
          <w:b/>
          <w:bCs/>
          <w:sz w:val="24"/>
          <w:szCs w:val="24"/>
        </w:rPr>
        <w:t xml:space="preserve">Рисунок 8.1: Структурная схема процедуры рассмотрения жалоб</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b/>
          <w:bCs/>
          <w:sz w:val="24"/>
          <w:szCs w:val="24"/>
        </w:rPr>
        <w:t xml:space="preserve">Таблица 8.3: Описание процедуры рассмотрения жалоб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386"/>
        <w:gridCol w:w="7654"/>
        <w:gridCol w:w="731"/>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Шаг</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действий</w:t>
            </w:r>
          </w:p>
        </w:tc>
        <w:tc>
          <w:tcPr>
            <w:tcW w:type="dxa" w:w="7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Процесс</w:t>
            </w:r>
          </w:p>
        </w:tc>
        <w:tc>
          <w:tcPr>
            <w:tcW w:type="dxa" w:w="7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уровне МК</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 начальном этапе местный координатор (МК) организует слушание жалобы заявителя и попытается найти приемлемое решение. Если заявитель не удовлетворен решением, то он должен в течение трех дней подать жалобу в местную ГРЖ</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местном уровне</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письменной жалобы МК рассматривает ее и подготавливает Досье для рассмотрения и принятия решения на уровне ГРЖ. Официальное слушание проводится ГРЖ в день, установленный МК по согласованию с жалобщиком. В день слушания жалобщик должен предстать перед ГРЖ и представить доказательства в обоснование своего требования. МК регистрирует показания жалобщика и документирует все доказательства. Решение, достигнутое большинством голосов Членов ГРЖ, считается окончательным. Впоследствии оно оформляется МК и подписывается другими Членами ГРЖ. Досье дополняется, и в течение 10 дней МК информирует жалобщика о принятом решении. Если жалобщик не удовлетворен решением, МК подает жалобу в письменной форме в центральный ГРЖ в МТИД КР с заключением и подтверждающими документами, подготовленными на местном уровне.</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центральном уровне</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письменной жалобы руководитель центральной ГРЖ рассматривает и подготавливает Досье для слушания и разрешения ГРЖ. Официальное слушание проводится на дату, назначенную руководителем группы ГРЖ и жалобщиком. Члены ГРЖ должны связаться с жалобщиком и посетить его населенный пункт. Специалист по социальным гарантиям/Социолог ГРИП должен записать показания жалобщика и документально оформить все доказательства. Решение, достигнутое большинством голосов Членов центральной ГРЖ, считается окончательным. Оно выносится Председателем и подписывается другими Членами. Досье дополняется, и в течение 7 дней с момента подачи жалобы Специалист по социальным гарантиям/Социолог ГРИП информирует о нем жалобщика.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дней</w:t>
            </w:r>
          </w:p>
        </w:tc>
      </w:tr>
    </w:tbl>
    <w:p>
      <w:pPr>
        <w:spacing w:after="120"/>
        <w:jc w:val="both"/>
      </w:pPr>
      <w:r>
        <w:rPr>
          <w:rFonts w:ascii="Arial" w:cs="Arial" w:eastAsia="Arial" w:hAnsi="Arial"/>
          <w:sz w:val="24"/>
          <w:szCs w:val="24"/>
        </w:rPr>
        <w:t xml:space="preserve">127. Если заявитель не удовлетворен решением центральной ГРЖ и готов продолжить процесс, он/она может зарегистрировать/подать дело в суд, решение которого будет окончательным. Будут предприняты все усилия для урегулирования проблем на уровне ГРИП. Все жалобы и решения будут надлежащим образом задокументированы ГРИП и доступны для ознакомления, мониторинга и оценки.</w:t>
      </w:r>
    </w:p>
    <w:p>
      <w:pPr>
        <w:spacing w:after="120"/>
        <w:jc w:val="both"/>
      </w:pPr>
      <w:r>
        <w:rPr>
          <w:rFonts w:ascii="Arial" w:cs="Arial" w:eastAsia="Arial" w:hAnsi="Arial"/>
          <w:sz w:val="24"/>
          <w:szCs w:val="24"/>
        </w:rPr>
        <w:t xml:space="preserve">128. Для процедур МРЖ может потребоваться проведение одной или нескольких встреч для рассмотрения каждой жалобы, а также полевых обследований отдельными техническими экспертами или оценщиками. Если более одного заявителя подают аналогичные жалобы, их можно рассматривать как одно дело.</w:t>
      </w:r>
    </w:p>
    <w:p>
      <w:pPr>
        <w:spacing w:after="120"/>
        <w:jc w:val="both"/>
      </w:pPr>
      <w:r>
        <w:rPr>
          <w:rFonts w:ascii="Arial" w:cs="Arial" w:eastAsia="Arial" w:hAnsi="Arial"/>
          <w:sz w:val="24"/>
          <w:szCs w:val="24"/>
        </w:rPr>
        <w:t xml:space="preserve">129. Для обращений на центральном уровне встречи будут проводиться в офисе МТД в Бишкеке, при этом члены ГРЖ будут выезжать в село заявителя.</w:t>
      </w:r>
    </w:p>
    <w:p>
      <w:pPr>
        <w:spacing w:after="120"/>
        <w:jc w:val="both"/>
      </w:pPr>
      <w:r>
        <w:rPr>
          <w:rFonts w:ascii="Arial" w:cs="Arial" w:eastAsia="Arial" w:hAnsi="Arial"/>
          <w:sz w:val="24"/>
          <w:szCs w:val="24"/>
        </w:rPr>
        <w:t xml:space="preserve">130. На каждом уровне апелляции ГРЖ будет оказана помощь, по мере необходимости, со стороны соответствующих специалистов, необходимого для решения некоторых конкретных проблем. В работы ГРЖ могут привлекаться:</w:t>
      </w:r>
    </w:p>
    <w:p>
      <w:pPr>
        <w:spacing w:after="120"/>
        <w:jc w:val="both"/>
      </w:pPr>
      <w:r>
        <w:rPr>
          <w:rFonts w:ascii="Arial" w:cs="Arial" w:eastAsia="Arial" w:hAnsi="Arial"/>
          <w:sz w:val="24"/>
          <w:szCs w:val="24"/>
        </w:rPr>
        <w:t xml:space="preserve">- Представители районной государственной администрации;</w:t>
      </w:r>
    </w:p>
    <w:p>
      <w:pPr>
        <w:spacing w:after="120"/>
        <w:jc w:val="both"/>
      </w:pPr>
      <w:r>
        <w:rPr>
          <w:rFonts w:ascii="Arial" w:cs="Arial" w:eastAsia="Arial" w:hAnsi="Arial"/>
          <w:sz w:val="24"/>
          <w:szCs w:val="24"/>
        </w:rPr>
        <w:t xml:space="preserve">- Представители районного отделения Государственного агентства по архитектуре и строительству;</w:t>
      </w:r>
    </w:p>
    <w:p>
      <w:pPr>
        <w:spacing w:after="120"/>
        <w:jc w:val="both"/>
      </w:pPr>
      <w:r>
        <w:rPr>
          <w:rFonts w:ascii="Arial" w:cs="Arial" w:eastAsia="Arial" w:hAnsi="Arial"/>
          <w:sz w:val="24"/>
          <w:szCs w:val="24"/>
        </w:rPr>
        <w:t xml:space="preserve">- Районные службы государственной регистрации;</w:t>
      </w:r>
    </w:p>
    <w:p>
      <w:pPr>
        <w:spacing w:after="120"/>
        <w:jc w:val="both"/>
      </w:pPr>
      <w:r>
        <w:rPr>
          <w:rFonts w:ascii="Arial" w:cs="Arial" w:eastAsia="Arial" w:hAnsi="Arial"/>
          <w:sz w:val="24"/>
          <w:szCs w:val="24"/>
        </w:rPr>
        <w:t xml:space="preserve">- Государственное агентство по архитектуре и строительству;</w:t>
      </w:r>
    </w:p>
    <w:p>
      <w:pPr>
        <w:spacing w:after="120"/>
        <w:jc w:val="both"/>
      </w:pPr>
      <w:r>
        <w:rPr>
          <w:rFonts w:ascii="Arial" w:cs="Arial" w:eastAsia="Arial" w:hAnsi="Arial"/>
          <w:sz w:val="24"/>
          <w:szCs w:val="24"/>
        </w:rPr>
        <w:t xml:space="preserve">- Государственное агентство по охране окружающей среды и лесному хозяйству;</w:t>
      </w:r>
    </w:p>
    <w:p>
      <w:pPr>
        <w:spacing w:after="120"/>
        <w:jc w:val="both"/>
      </w:pPr>
      <w:r>
        <w:rPr>
          <w:rFonts w:ascii="Arial" w:cs="Arial" w:eastAsia="Arial" w:hAnsi="Arial"/>
          <w:sz w:val="24"/>
          <w:szCs w:val="24"/>
        </w:rPr>
        <w:t xml:space="preserve">- Фонд управления государственным имуществом;</w:t>
      </w:r>
    </w:p>
    <w:p>
      <w:pPr>
        <w:spacing w:after="120"/>
        <w:jc w:val="both"/>
      </w:pPr>
      <w:r>
        <w:rPr>
          <w:rFonts w:ascii="Arial" w:cs="Arial" w:eastAsia="Arial" w:hAnsi="Arial"/>
          <w:sz w:val="24"/>
          <w:szCs w:val="24"/>
        </w:rPr>
        <w:t xml:space="preserve">- Квалифицированные инженеры.</w:t>
      </w:r>
    </w:p>
    <w:p>
      <w:pPr>
        <w:spacing w:after="120"/>
        <w:jc w:val="both"/>
      </w:pPr>
      <w:r>
        <w:rPr>
          <w:rFonts w:ascii="Arial" w:cs="Arial" w:eastAsia="Arial" w:hAnsi="Arial"/>
          <w:b/>
          <w:bCs/>
          <w:sz w:val="24"/>
          <w:szCs w:val="24"/>
        </w:rPr>
        <w:t xml:space="preserve">ГЛАВА 9. БЮДЖЕТ И ФИНАНСИРОВАНИЕ ПЕРЕСЕЛЕНИЯ</w:t>
      </w:r>
    </w:p>
    <w:p>
      <w:pPr>
        <w:spacing w:after="120"/>
        <w:jc w:val="both"/>
      </w:pPr>
      <w:r>
        <w:rPr>
          <w:rFonts w:ascii="Arial" w:cs="Arial" w:eastAsia="Arial" w:hAnsi="Arial"/>
          <w:b/>
          <w:bCs/>
          <w:sz w:val="24"/>
          <w:szCs w:val="24"/>
        </w:rPr>
        <w:t xml:space="preserve">9.1. Общая информация</w:t>
      </w:r>
    </w:p>
    <w:p>
      <w:pPr>
        <w:spacing w:after="120"/>
        <w:jc w:val="both"/>
      </w:pPr>
      <w:r>
        <w:rPr>
          <w:rFonts w:ascii="Arial" w:cs="Arial" w:eastAsia="Arial" w:hAnsi="Arial"/>
          <w:sz w:val="24"/>
          <w:szCs w:val="24"/>
        </w:rPr>
        <w:t xml:space="preserve">131. В настоящей главе представлены удельные расценки, стоимость ИЗП и компенсации, которые должны быть выплачены ЗЛ/ПЛ за различные воздействия, связанные с переселением в рамках Проекта. Оценка стоимости переселения в рамках данного Проекта включает приемлемые компенсационные выплаты, помощь в переселении и дополнительные расходы в контексте реализации ПИЗП. Ставки компенсации за различные воздействия и потери, упомянутые в этом бюджете, были рассчитаны на основе результатов оценки, проведенной сертифицированным независимым оценщиком. Оценка проводилась в соответствии с политикой правительства и ППЗМ АБР 2009 г., а также утвержденной матрицей прав для данного проекта. Бюджет настоящего ПИЗП включает в себя:</w:t>
      </w:r>
    </w:p>
    <w:p>
      <w:pPr>
        <w:spacing w:after="120"/>
        <w:jc w:val="both"/>
      </w:pPr>
      <w:r>
        <w:rPr>
          <w:rFonts w:ascii="Arial" w:cs="Arial" w:eastAsia="Arial" w:hAnsi="Arial"/>
          <w:sz w:val="24"/>
          <w:szCs w:val="24"/>
        </w:rPr>
        <w:t xml:space="preserve">- стоимость всех затронутых проектом земель, сооружений и другого имущества, подлежащая выплате затрагиваемым проектом сторонам в качестве компенсаций и помощи в соответствии с утвержденной матрицей прав, разработанной сертифицированным независимым оценщиком;</w:t>
      </w:r>
    </w:p>
    <w:p>
      <w:pPr>
        <w:spacing w:after="120"/>
        <w:jc w:val="both"/>
      </w:pPr>
      <w:r>
        <w:rPr>
          <w:rFonts w:ascii="Arial" w:cs="Arial" w:eastAsia="Arial" w:hAnsi="Arial"/>
          <w:sz w:val="24"/>
          <w:szCs w:val="24"/>
        </w:rPr>
        <w:t xml:space="preserve">- расходы на поддержку реализации ПИЗП включают потребность в кадрах, мониторинг и оценку, привлечение Команды по переселению к реализации проекта и т.д.;</w:t>
      </w:r>
    </w:p>
    <w:p>
      <w:pPr>
        <w:spacing w:after="120"/>
        <w:jc w:val="both"/>
      </w:pPr>
      <w:r>
        <w:rPr>
          <w:rFonts w:ascii="Arial" w:cs="Arial" w:eastAsia="Arial" w:hAnsi="Arial"/>
          <w:sz w:val="24"/>
          <w:szCs w:val="24"/>
        </w:rPr>
        <w:t xml:space="preserve">- административные расходы в размере 2% от прямых затрат;</w:t>
      </w:r>
    </w:p>
    <w:p>
      <w:pPr>
        <w:spacing w:after="120"/>
        <w:jc w:val="both"/>
      </w:pPr>
      <w:r>
        <w:rPr>
          <w:rFonts w:ascii="Arial" w:cs="Arial" w:eastAsia="Arial" w:hAnsi="Arial"/>
          <w:sz w:val="24"/>
          <w:szCs w:val="24"/>
        </w:rPr>
        <w:t xml:space="preserve">- непредвиденные расходы в размере 20% от прямых затрат.</w:t>
      </w:r>
    </w:p>
    <w:p>
      <w:pPr>
        <w:spacing w:after="120"/>
        <w:jc w:val="both"/>
      </w:pPr>
      <w:r>
        <w:rPr>
          <w:rFonts w:ascii="Arial" w:cs="Arial" w:eastAsia="Arial" w:hAnsi="Arial"/>
          <w:sz w:val="24"/>
          <w:szCs w:val="24"/>
        </w:rPr>
        <w:t xml:space="preserve">130. Из общей стоимости реализации И3П и ПИЗП Правительство будет нести все расходы, связанные с реализацией ПИЗП.</w:t>
      </w:r>
    </w:p>
    <w:p>
      <w:pPr>
        <w:spacing w:after="120"/>
        <w:jc w:val="both"/>
      </w:pPr>
      <w:r>
        <w:rPr>
          <w:rFonts w:ascii="Arial" w:cs="Arial" w:eastAsia="Arial" w:hAnsi="Arial"/>
          <w:b/>
          <w:bCs/>
          <w:sz w:val="24"/>
          <w:szCs w:val="24"/>
        </w:rPr>
        <w:t xml:space="preserve">9.2. Методология оценки затронутого проектом имущества</w:t>
      </w:r>
    </w:p>
    <w:p>
      <w:pPr>
        <w:spacing w:after="120"/>
        <w:jc w:val="both"/>
      </w:pPr>
      <w:r>
        <w:rPr>
          <w:rFonts w:ascii="Arial" w:cs="Arial" w:eastAsia="Arial" w:hAnsi="Arial"/>
          <w:sz w:val="24"/>
          <w:szCs w:val="24"/>
        </w:rPr>
        <w:t xml:space="preserve">131. Оценка земель, сооружений и другого движимого/недвижимого имущества проводилась независимым оценщиком с учетом ДЗИ затронутого имущества в рамках данного проекта. Бюджет настоящего ПИЗП был рассчитан и представлен в данном отчете на основе результатов оценки оценщика. Краткое описание методов оценки, использованных оценочным агентством в отношении различных типов воздействий, основано на результатах ДЗИ, указанных в подразделах ниже.</w:t>
      </w:r>
    </w:p>
    <w:p>
      <w:pPr>
        <w:spacing w:after="120"/>
        <w:jc w:val="both"/>
      </w:pPr>
      <w:r>
        <w:rPr>
          <w:rFonts w:ascii="Arial" w:cs="Arial" w:eastAsia="Arial" w:hAnsi="Arial"/>
          <w:sz w:val="24"/>
          <w:szCs w:val="24"/>
        </w:rPr>
        <w:t xml:space="preserve">9.2.1. Оценка земель</w:t>
      </w:r>
    </w:p>
    <w:p>
      <w:pPr>
        <w:spacing w:after="120"/>
        <w:jc w:val="both"/>
      </w:pPr>
      <w:r>
        <w:rPr>
          <w:rFonts w:ascii="Arial" w:cs="Arial" w:eastAsia="Arial" w:hAnsi="Arial"/>
          <w:sz w:val="24"/>
          <w:szCs w:val="24"/>
        </w:rPr>
        <w:t xml:space="preserve">132. Законные владельцы затронутых земель вправе получить компенсацию за них. Но, при этом, незаконные землепользователи также будут иметь право на компенсацию при условии легализации земли в использовании. Что касается незаконных землепользователей, то компенсация им выплачиваться не будет. Компенсационные выплаты собственникам, теряющим законные сельскохозяйственные и коммерческие земли, а также земли под жилую застройку, оцениваются с учетом текущей рыночной стоимости, затрагиваемой проектом земли. Рыночная стоимость была определена оценщиком на основе анализа информации о продажах и предложениях земли, жилых зданиях и коммерческой недвижимости. Оценка стоимости земель также включала затраты на перерегистрацию оставшейся земли, такие как (i) регистрация прав собственника, (ii) технический паспорт; (iii) свидетельство о праве собственности на землю; и (iv) свидетельство о праве приобретения земли и т.д. С учетом вышеизложенного, средняя ставка компенсации за 1 м2 земли, рассчитанная как отдельно, так и по всем трем районам с учетом типов земель и на основании результатов работы оценочного агентства составляет 42 сома за земли сельскохозяйственного назначения, 2468,4 сома за землю под жилую застройку, 28080 сом за коммерческую землю, 6000 сомов за землю под рынки/ базары и 1026,5 сома за земли другого типа.</w:t>
      </w:r>
    </w:p>
    <w:p>
      <w:pPr>
        <w:spacing w:after="120"/>
        <w:jc w:val="both"/>
      </w:pPr>
      <w:r>
        <w:rPr>
          <w:rFonts w:ascii="Arial" w:cs="Arial" w:eastAsia="Arial" w:hAnsi="Arial"/>
          <w:b/>
          <w:bCs/>
          <w:sz w:val="24"/>
          <w:szCs w:val="24"/>
        </w:rPr>
        <w:t xml:space="preserve">9.2.2. Оценка зданий и сооружений</w:t>
      </w:r>
    </w:p>
    <w:p>
      <w:pPr>
        <w:spacing w:after="120"/>
        <w:jc w:val="both"/>
      </w:pPr>
      <w:r>
        <w:rPr>
          <w:rFonts w:ascii="Arial" w:cs="Arial" w:eastAsia="Arial" w:hAnsi="Arial"/>
          <w:sz w:val="24"/>
          <w:szCs w:val="24"/>
        </w:rPr>
        <w:t xml:space="preserve">133. Компенсация за попавшие под воздействие проекта сооружения оценивалась с учетом полной восстановительной стоимости без каких-либо вычетов или амортизации, использованных материалов или косвенных расходов независимо от статуса регистрации. Восстановительная стоимость зданий и сооружений определялась путем расчета стоимости строительства аналогичного нового здания/сооружения такого же предназначения и использования таких же материалов на основе преобладающих рыночных цен на дату проведения оценки. Все необходимые налоги, сборы и расходы на получение документов на регистрацию земельного участка, проектирование нового здания, стоимость перерегистрации и другие сопутствующие документы для установления права собственности включены в восстановительную стоимость. В данном контексте, средняя оценочная ставка и площадь сооружений рассчитывались на основе результатов работы оценочного агентства с учетом типов конструкций и целей их использования отдельно по каждому району и в совокупности по всем районам.</w:t>
      </w:r>
    </w:p>
    <w:p>
      <w:pPr>
        <w:spacing w:after="120"/>
        <w:jc w:val="both"/>
      </w:pPr>
      <w:r>
        <w:rPr>
          <w:rFonts w:ascii="Arial" w:cs="Arial" w:eastAsia="Arial" w:hAnsi="Arial"/>
          <w:b/>
          <w:bCs/>
          <w:sz w:val="24"/>
          <w:szCs w:val="24"/>
        </w:rPr>
        <w:t xml:space="preserve">9.2.3. Оценка деревьев и посевов</w:t>
      </w:r>
    </w:p>
    <w:p>
      <w:pPr>
        <w:spacing w:after="120"/>
        <w:jc w:val="both"/>
      </w:pPr>
      <w:r>
        <w:rPr>
          <w:rFonts w:ascii="Arial" w:cs="Arial" w:eastAsia="Arial" w:hAnsi="Arial"/>
          <w:sz w:val="24"/>
          <w:szCs w:val="24"/>
        </w:rPr>
        <w:t xml:space="preserve">134. Расчет компенсационных выплат за деревья/растения производился с использованием следующих подходов:</w:t>
      </w:r>
    </w:p>
    <w:p>
      <w:pPr>
        <w:spacing w:after="120"/>
        <w:jc w:val="both"/>
      </w:pPr>
      <w:r>
        <w:rPr>
          <w:rFonts w:ascii="Arial" w:cs="Arial" w:eastAsia="Arial" w:hAnsi="Arial"/>
          <w:sz w:val="24"/>
          <w:szCs w:val="24"/>
        </w:rPr>
        <w:t xml:space="preserve">- стоимость саженцев и декоративных деревьев определена на основе рыночных цен реализации питомников;</w:t>
      </w:r>
    </w:p>
    <w:p>
      <w:pPr>
        <w:spacing w:after="120"/>
        <w:jc w:val="both"/>
      </w:pPr>
      <w:r>
        <w:rPr>
          <w:rFonts w:ascii="Arial" w:cs="Arial" w:eastAsia="Arial" w:hAnsi="Arial"/>
          <w:sz w:val="24"/>
          <w:szCs w:val="24"/>
        </w:rPr>
        <w:t xml:space="preserve">- стоимость плодоносящих деревьев определяется с учетом объема годового урожая дерева, умноженного на количество лет, необходимых для того, чтобы заменяющее его дерево начало давать аналогичный объем урожая + рыночная стоимость саженцев;</w:t>
      </w:r>
    </w:p>
    <w:p>
      <w:pPr>
        <w:spacing w:after="120"/>
        <w:jc w:val="both"/>
      </w:pPr>
      <w:r>
        <w:rPr>
          <w:rFonts w:ascii="Arial" w:cs="Arial" w:eastAsia="Arial" w:hAnsi="Arial"/>
          <w:sz w:val="24"/>
          <w:szCs w:val="24"/>
        </w:rPr>
        <w:t xml:space="preserve">- стоимость неплодоносящих деревьев определяется объемом древесины по рыночной стоимости дров;</w:t>
      </w:r>
    </w:p>
    <w:p>
      <w:pPr>
        <w:spacing w:after="120"/>
        <w:jc w:val="both"/>
      </w:pPr>
      <w:r>
        <w:rPr>
          <w:rFonts w:ascii="Arial" w:cs="Arial" w:eastAsia="Arial" w:hAnsi="Arial"/>
          <w:sz w:val="24"/>
          <w:szCs w:val="24"/>
        </w:rPr>
        <w:t xml:space="preserve">- стоимость сельскохозяйственных посевов определяется с учетом рыночной стоимости годового урожая.</w:t>
      </w:r>
    </w:p>
    <w:p>
      <w:pPr>
        <w:spacing w:after="120"/>
        <w:jc w:val="both"/>
      </w:pPr>
      <w:r>
        <w:rPr>
          <w:rFonts w:ascii="Arial" w:cs="Arial" w:eastAsia="Arial" w:hAnsi="Arial"/>
          <w:sz w:val="24"/>
          <w:szCs w:val="24"/>
        </w:rPr>
        <w:t xml:space="preserve">135. Оценочная ставка по посевам и деревьям и другим убыткам в рамках реализации проекта в разрезе их типов и районов представлена в Отчете № 1 по оценке убытков домохозяйств, подпадающих под строительство автодороги Маданият - Джалал-Абад.</w:t>
      </w:r>
    </w:p>
    <w:p>
      <w:pPr>
        <w:spacing w:after="120"/>
        <w:jc w:val="both"/>
      </w:pPr>
      <w:r>
        <w:rPr>
          <w:rFonts w:ascii="Arial" w:cs="Arial" w:eastAsia="Arial" w:hAnsi="Arial"/>
          <w:b/>
          <w:bCs/>
          <w:sz w:val="24"/>
          <w:szCs w:val="24"/>
        </w:rPr>
        <w:t xml:space="preserve">9.2.4. Потеря дохода из-за прекращения коммерческой деятельности</w:t>
      </w:r>
    </w:p>
    <w:p>
      <w:pPr>
        <w:spacing w:after="120"/>
        <w:jc w:val="both"/>
      </w:pPr>
      <w:r>
        <w:rPr>
          <w:rFonts w:ascii="Arial" w:cs="Arial" w:eastAsia="Arial" w:hAnsi="Arial"/>
          <w:sz w:val="24"/>
          <w:szCs w:val="24"/>
        </w:rPr>
        <w:t xml:space="preserve">136. Оценка компенсационных выплат была произведена в отношении всех затронутых проектом коммерческих видов деятельности с целью покрытия их потерь, независимо от их правового статуса (включая незаконных владельцев бизнеса). Законные владельцы бизнеса будут иметь право на получение компенсации за потерянный ими доход на срок до 1 года на основании заявленного дохода. Компенсация/надбавка для незаконных владельцев бизнеса была рассчитана на основе прожиточного минимума для соответствующего региона (района). Указанные незаконные владельцы бизнеса будут иметь право на получение компенсации/пособия по потере бизнеса на основании прожиточного минимума для соответствующего региона (района) в течение 3 месяцев. В среднем 34 домохозяйства получат компенсацию вследствие воздействия проекта на их бизнес, которая составляет 60807 сом.</w:t>
      </w:r>
    </w:p>
    <w:p>
      <w:pPr>
        <w:spacing w:after="120"/>
        <w:jc w:val="both"/>
      </w:pPr>
      <w:r>
        <w:rPr>
          <w:rFonts w:ascii="Arial" w:cs="Arial" w:eastAsia="Arial" w:hAnsi="Arial"/>
          <w:b/>
          <w:bCs/>
          <w:sz w:val="24"/>
          <w:szCs w:val="24"/>
        </w:rPr>
        <w:t xml:space="preserve">9.2.5. Пособия для уязвимых ДХ и ДХ, попавших под сильное воздействие</w:t>
      </w:r>
    </w:p>
    <w:p>
      <w:pPr>
        <w:spacing w:after="120"/>
        <w:jc w:val="both"/>
      </w:pPr>
      <w:r>
        <w:rPr>
          <w:rFonts w:ascii="Arial" w:cs="Arial" w:eastAsia="Arial" w:hAnsi="Arial"/>
          <w:sz w:val="24"/>
          <w:szCs w:val="24"/>
        </w:rPr>
        <w:t xml:space="preserve">137. В процесс оценки был включен расчет пособий для ДХ, отнесенных к категории уязвимых, и ДХ, попавших под сильное воздействие. При расчете пособий как для ДХСВП, так и для УДХВП использовалась одна и та же методология, основанная на учете минимальной ставки заработной платы в Кыргызской Республике. Расчет пособий для ДХСВП был произведен оценщиком и подтвержден Госрегистром, в то время как УДХВП были определены соответствующими местными органами власти и государственной районной администрацией. Пособия для ДХСВП и УДХВП были рассчитаны на основе минимальной ставки заработной платы в Кыргызской Республике, которая составляет около 1854 сома. Таким образом, в бюджете предусмотрено положение о выплате минимальной заработной платы за сильное воздействие и уязвимость всем ДХСВП и УДХВП в размере 1865 сом в течение 6 месяцев.</w:t>
      </w:r>
    </w:p>
    <w:p>
      <w:pPr>
        <w:spacing w:after="120"/>
        <w:jc w:val="both"/>
      </w:pPr>
      <w:r>
        <w:rPr>
          <w:rFonts w:ascii="Arial" w:cs="Arial" w:eastAsia="Arial" w:hAnsi="Arial"/>
          <w:b/>
          <w:bCs/>
          <w:sz w:val="24"/>
          <w:szCs w:val="24"/>
        </w:rPr>
        <w:t xml:space="preserve">9.2.6. Расходы на перерегистрацию затрагиваемых проектом земельных участков</w:t>
      </w:r>
    </w:p>
    <w:p>
      <w:pPr>
        <w:spacing w:after="120"/>
        <w:jc w:val="both"/>
      </w:pPr>
      <w:r>
        <w:rPr>
          <w:rFonts w:ascii="Arial" w:cs="Arial" w:eastAsia="Arial" w:hAnsi="Arial"/>
          <w:sz w:val="24"/>
          <w:szCs w:val="24"/>
        </w:rPr>
        <w:t xml:space="preserve">138. Всем затрагиваемым домохозяйствам потребуется перерегистрация затронутых участков. В бюджете предусмотрено положение о расходах на перерегистрацию земельных участков для каждого затронутого проектом домохозяйства, которые по оценкам оценочного агентства составляют 7108 сомов на домохозяйство/объект.</w:t>
      </w:r>
    </w:p>
    <w:p>
      <w:pPr>
        <w:spacing w:after="120"/>
        <w:jc w:val="both"/>
      </w:pPr>
      <w:r>
        <w:rPr>
          <w:rFonts w:ascii="Arial" w:cs="Arial" w:eastAsia="Arial" w:hAnsi="Arial"/>
          <w:b/>
          <w:bCs/>
          <w:sz w:val="24"/>
          <w:szCs w:val="24"/>
        </w:rPr>
        <w:t xml:space="preserve">9.3. Смета расходов и бюджет ПИЗП</w:t>
      </w:r>
    </w:p>
    <w:p>
      <w:pPr>
        <w:spacing w:after="120"/>
        <w:jc w:val="both"/>
      </w:pPr>
      <w:r>
        <w:rPr>
          <w:rFonts w:ascii="Arial" w:cs="Arial" w:eastAsia="Arial" w:hAnsi="Arial"/>
          <w:sz w:val="24"/>
          <w:szCs w:val="24"/>
        </w:rPr>
        <w:t xml:space="preserve">139. Подробная смета расходов для каждого типа компенсационных выплат была составлена с учетом вышеуказанной удельной стоимости только тех затрагиваемых земель и собственности, которые находятся в частной собственности. Государственные земли и недвижимость не были включены, поскольку они не требуют компенсации наличными ввиду восстановления/реабилитации таких затронутых объектов недвижимости. В бюджете указывается общая сумма компенсации, подлежащая выплате за разные виды потерь и затрат на бизнес, урожай, деревья, ДХСВП и УДХВП. Общая сметная стоимость переселения и реализации ПИЗП в рамках проекта составляет 193029910 сомов, что эквивалентно 2476647 долларов США. Подробная информация о стоимости ПИЗП, распределенной по видам воздействий и другим льготам/пособиям, подлежащим выплате в соответствии с политикой ПИЗП, изложена в таблице 9.4.</w:t>
      </w:r>
    </w:p>
    <w:p>
      <w:pPr>
        <w:spacing w:after="120"/>
        <w:jc w:val="both"/>
      </w:pPr>
      <w:r>
        <w:rPr>
          <w:rFonts w:ascii="Arial" w:cs="Arial" w:eastAsia="Arial" w:hAnsi="Arial"/>
          <w:b/>
          <w:bCs/>
          <w:sz w:val="24"/>
          <w:szCs w:val="24"/>
        </w:rPr>
        <w:t xml:space="preserve">Таблица 9.4: Бюджет ПИЗП (в кыргызских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7"/>
        <w:gridCol w:w="1472"/>
        <w:gridCol w:w="1472"/>
        <w:gridCol w:w="1749"/>
        <w:gridCol w:w="1749"/>
      </w:tblGrid>
      <w:tr>
        <w:tc>
          <w:tcPr>
            <w:tcW w:type="dxa" w:w="37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29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Воздействие</w:t>
            </w:r>
          </w:p>
        </w:tc>
        <w:tc>
          <w:tcPr>
            <w:tcW w:type="dxa" w:w="34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w:t>
            </w:r>
          </w:p>
        </w:tc>
      </w:tr>
      <w:tr>
        <w:tc>
          <w:tcPr>
            <w:vMerge w:val="continue"/>
            <w:tcBorders>
              <w:top w:val="single" w:color="CBBF9E" w:sz="4"/>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измерения</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KGS</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
 (1 USD = 77,94)</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Компенсация за сельскохозяйственную землю</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330513,0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4240,6</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Компенсация за землю под жилую застройку</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47731795,0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612417,1</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Компенсация за коммерческие земли</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20940210,0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268670,9</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Компенсация за все типы зданий и сооружений</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78547355,0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1007792,8</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Компенсация за деревья</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4468520,0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57332,8</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Расходы на перерегистрацию земельных участков</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ДХ/объект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2020030,0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25917,7</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Компенсация за затронутый бизнес</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2102627,0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26977,5</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ДХ, подпадающим под сильное воздействие</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1212516,0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15557,0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Пособия уязвимым ДХ, подпадающим под воздействие проекта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867672,0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11132,5</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Подитог</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158221238,0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2030039,0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Административные расходы (2% от прямых затрат)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3164424,76</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40601,0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Непредвиденные расходы (20% от прямых затрат)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31644247,6</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406007,0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193029910,0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2476647,0</w:t>
            </w:r>
          </w:p>
        </w:tc>
      </w:tr>
    </w:tbl>
    <w:p>
      <w:pPr>
        <w:spacing w:after="120"/>
        <w:jc w:val="both"/>
      </w:pPr>
      <w:r>
        <w:rPr>
          <w:rFonts w:ascii="Arial" w:cs="Arial" w:eastAsia="Arial" w:hAnsi="Arial"/>
          <w:sz w:val="24"/>
          <w:szCs w:val="24"/>
        </w:rPr>
        <w:t xml:space="preserve">Источник: расчеты на основе Отчета об оценке.</w:t>
      </w:r>
    </w:p>
    <w:p>
      <w:pPr>
        <w:spacing w:after="120"/>
        <w:jc w:val="both"/>
      </w:pPr>
      <w:r>
        <w:rPr>
          <w:rFonts w:ascii="Arial" w:cs="Arial" w:eastAsia="Arial" w:hAnsi="Arial"/>
          <w:b/>
          <w:bCs/>
          <w:sz w:val="24"/>
          <w:szCs w:val="24"/>
        </w:rPr>
        <w:t xml:space="preserve">ГЛАВА 10. ГРАФИК РЕАЛИЗАЦИИ ПИЗП</w:t>
      </w:r>
    </w:p>
    <w:p>
      <w:pPr>
        <w:spacing w:after="120"/>
        <w:jc w:val="both"/>
      </w:pPr>
      <w:r>
        <w:rPr>
          <w:rFonts w:ascii="Arial" w:cs="Arial" w:eastAsia="Arial" w:hAnsi="Arial"/>
          <w:b/>
          <w:bCs/>
          <w:sz w:val="24"/>
          <w:szCs w:val="24"/>
        </w:rPr>
        <w:t xml:space="preserve">10.1. Общая информация</w:t>
      </w:r>
    </w:p>
    <w:p>
      <w:pPr>
        <w:spacing w:after="120"/>
        <w:jc w:val="both"/>
      </w:pPr>
      <w:r>
        <w:rPr>
          <w:rFonts w:ascii="Arial" w:cs="Arial" w:eastAsia="Arial" w:hAnsi="Arial"/>
          <w:sz w:val="24"/>
          <w:szCs w:val="24"/>
        </w:rPr>
        <w:t xml:space="preserve">140. График реализации данного ПИЗП будет составлен в соответствии с общим ходом реализации проекта. Все мероприятия по ИЗП должны быть спланированы таким образом, чтобы компенсация выплачивалась ЗДХ и 3Л до перемещения и начала строительных работ. Периодически в течение всего срока реализации проекта будут проводиться общественные слушания, внутренний мониторинг и рассмотрение жалоб. Однако график реализации ПИЗП может быть изменен в зависимости от хода работ по проекту. В рамках предварительных мероприятий, проводимых после переговоров по кредитованию, МТИД КР уже учредил ГРИП, включая формирование подразделения/отдела по социальной защите, ГРЖ/МРЖ для реализации ПИЗП. Предлагаемые мероприятия в рамках ПИЗП подразделяются на три общие категории в зависимости от этапов работы и процесса реализации. Мероприятия, которые будут проводиться в ходе указанных этапов, включают: а) обновление и окончательную доработку ПИЗП до уровня документа, готового к реализации; b) реализацию ПИЗП; и с) период мониторинга и оценки. В настоящей главе описываются стадии подготовки ПИЗП и будущие действия, необходимые для обеспечения его успешной реализации.</w:t>
      </w:r>
    </w:p>
    <w:p>
      <w:pPr>
        <w:spacing w:after="120"/>
        <w:jc w:val="both"/>
      </w:pPr>
      <w:r>
        <w:rPr>
          <w:rFonts w:ascii="Arial" w:cs="Arial" w:eastAsia="Arial" w:hAnsi="Arial"/>
          <w:sz w:val="24"/>
          <w:szCs w:val="24"/>
        </w:rPr>
        <w:t xml:space="preserve">141. ИА начнет реализацию ПИЗП сразу после получения невозражения ЕАБР и последующего его утверждения Правительством Кыргызской Республики. Ниже приведены детали основных подготовительных задач, выполненных на сегодняшний день:</w:t>
      </w:r>
    </w:p>
    <w:p>
      <w:pPr>
        <w:spacing w:after="120"/>
        <w:jc w:val="both"/>
      </w:pPr>
      <w:r>
        <w:rPr>
          <w:rFonts w:ascii="Arial" w:cs="Arial" w:eastAsia="Arial" w:hAnsi="Arial"/>
          <w:sz w:val="24"/>
          <w:szCs w:val="24"/>
        </w:rPr>
        <w:t xml:space="preserve">- установление официального крайнего срока на право получения компенсаций - 31 августа 2019 года;</w:t>
      </w:r>
    </w:p>
    <w:p>
      <w:pPr>
        <w:spacing w:after="120"/>
        <w:jc w:val="both"/>
      </w:pPr>
      <w:r>
        <w:rPr>
          <w:rFonts w:ascii="Arial" w:cs="Arial" w:eastAsia="Arial" w:hAnsi="Arial"/>
          <w:sz w:val="24"/>
          <w:szCs w:val="24"/>
        </w:rPr>
        <w:t xml:space="preserve">- определение и расчет воздействий, количества ЗЛ и суммы компенсации на основе согласованных положений о правах на получение компенсационных выплат;</w:t>
      </w:r>
    </w:p>
    <w:p>
      <w:pPr>
        <w:spacing w:after="120"/>
        <w:jc w:val="both"/>
      </w:pPr>
      <w:r>
        <w:rPr>
          <w:rFonts w:ascii="Arial" w:cs="Arial" w:eastAsia="Arial" w:hAnsi="Arial"/>
          <w:sz w:val="24"/>
          <w:szCs w:val="24"/>
        </w:rPr>
        <w:t xml:space="preserve">- первоначальные слушания с основными заинтересованными сторонами и ПЛ; а также</w:t>
      </w:r>
    </w:p>
    <w:p>
      <w:pPr>
        <w:spacing w:after="120"/>
        <w:jc w:val="both"/>
      </w:pPr>
      <w:r>
        <w:rPr>
          <w:rFonts w:ascii="Arial" w:cs="Arial" w:eastAsia="Arial" w:hAnsi="Arial"/>
          <w:sz w:val="24"/>
          <w:szCs w:val="24"/>
        </w:rPr>
        <w:t xml:space="preserve">- общественные слушания с местным населением в зоне Проекта.</w:t>
      </w:r>
    </w:p>
    <w:p>
      <w:pPr>
        <w:spacing w:after="120"/>
        <w:jc w:val="both"/>
      </w:pPr>
      <w:r>
        <w:rPr>
          <w:rFonts w:ascii="Arial" w:cs="Arial" w:eastAsia="Arial" w:hAnsi="Arial"/>
          <w:b/>
          <w:bCs/>
          <w:sz w:val="24"/>
          <w:szCs w:val="24"/>
        </w:rPr>
        <w:t xml:space="preserve">10.2. Окончательная доработка и утверждение проекта ПИЗП</w:t>
      </w:r>
    </w:p>
    <w:p>
      <w:pPr>
        <w:spacing w:after="120"/>
        <w:jc w:val="both"/>
      </w:pPr>
      <w:r>
        <w:rPr>
          <w:rFonts w:ascii="Arial" w:cs="Arial" w:eastAsia="Arial" w:hAnsi="Arial"/>
          <w:sz w:val="24"/>
          <w:szCs w:val="24"/>
        </w:rPr>
        <w:t xml:space="preserve">142. Данный процесс включает в себя детальные замеры и другие необходимые исследования, включая оценку воздействия и оценку стоимости, социально-экономические исследования затронутых объектов на основе окончательного технического проекта. На данном этапе окончательного оформления ПИЗП также проводилась дополнительная проверка на наличие каких-либо несоответствий, допущенных КСН на местах, включая слушания с ЗЛ. Это было сделано, в частности, в отношении оценки воздействия и результатов оценки стоимости с целью устранения расхождений в данных, при наличии таковых. После подготовки окончательного варианта ПИЗП он должен быть представлен на рассмотрение ЕАБР (результат предоставление невозражения) и последующее утверждение Правительством Кыргызской Республики, после чего ПИЗП приобретает статус плана, готового к реализации. Далее изложены виды деятельности, которые будут осуществляться в ходе реализации:</w:t>
      </w:r>
    </w:p>
    <w:p>
      <w:pPr>
        <w:spacing w:after="120"/>
        <w:jc w:val="both"/>
      </w:pPr>
      <w:r>
        <w:rPr>
          <w:rFonts w:ascii="Arial" w:cs="Arial" w:eastAsia="Arial" w:hAnsi="Arial"/>
          <w:b/>
          <w:bCs/>
          <w:sz w:val="24"/>
          <w:szCs w:val="24"/>
        </w:rPr>
        <w:t xml:space="preserve">I. Стадия реализации ПИЗП</w:t>
      </w:r>
    </w:p>
    <w:p>
      <w:pPr>
        <w:spacing w:after="120"/>
        <w:jc w:val="both"/>
      </w:pPr>
      <w:r>
        <w:rPr>
          <w:rFonts w:ascii="Arial" w:cs="Arial" w:eastAsia="Arial" w:hAnsi="Arial"/>
          <w:sz w:val="24"/>
          <w:szCs w:val="24"/>
        </w:rPr>
        <w:t xml:space="preserve">143. На данном этапе утвержденный ПИЗП обнародуется среди ЗЛ. После утверждения ПИЗП должны быть выполнены все меры по определению компенсаций и выплат, которые включают в себя оплату расходов по всем видам необходимой помощи; перемещение ЗЛ; запуск мероприятий по восстановлению экономики; подготовку площадки для сдачи подрядчикам для строительства и, наконец, начало строительных работ.</w:t>
      </w:r>
    </w:p>
    <w:p>
      <w:pPr>
        <w:spacing w:after="120"/>
        <w:jc w:val="both"/>
      </w:pPr>
      <w:r>
        <w:rPr>
          <w:rFonts w:ascii="Arial" w:cs="Arial" w:eastAsia="Arial" w:hAnsi="Arial"/>
          <w:b/>
          <w:bCs/>
          <w:sz w:val="24"/>
          <w:szCs w:val="24"/>
        </w:rPr>
        <w:t xml:space="preserve">II. Период мониторинга и оценки</w:t>
      </w:r>
    </w:p>
    <w:p>
      <w:pPr>
        <w:spacing w:after="120"/>
        <w:jc w:val="both"/>
      </w:pPr>
      <w:r>
        <w:rPr>
          <w:rFonts w:ascii="Arial" w:cs="Arial" w:eastAsia="Arial" w:hAnsi="Arial"/>
          <w:sz w:val="24"/>
          <w:szCs w:val="24"/>
        </w:rPr>
        <w:t xml:space="preserve">144. В период реализации ПИЗП будет подлежать внутреннему мониторингу. Ответственность за проведение внутреннего мониторинга будет нести ГРИП, а непосредственным его проведением будет заниматься совместно с КСН. Он начнется в начале реализации ПИЗП и продлится до завершения проекта.</w:t>
      </w:r>
    </w:p>
    <w:p>
      <w:pPr>
        <w:spacing w:after="120"/>
        <w:jc w:val="both"/>
      </w:pPr>
      <w:r>
        <w:rPr>
          <w:rFonts w:ascii="Arial" w:cs="Arial" w:eastAsia="Arial" w:hAnsi="Arial"/>
          <w:b/>
          <w:bCs/>
          <w:sz w:val="24"/>
          <w:szCs w:val="24"/>
        </w:rPr>
        <w:t xml:space="preserve">10.3. График реализации ПИЗП</w:t>
      </w:r>
    </w:p>
    <w:p>
      <w:pPr>
        <w:spacing w:after="120"/>
        <w:jc w:val="both"/>
      </w:pPr>
      <w:r>
        <w:rPr>
          <w:rFonts w:ascii="Arial" w:cs="Arial" w:eastAsia="Arial" w:hAnsi="Arial"/>
          <w:sz w:val="24"/>
          <w:szCs w:val="24"/>
        </w:rPr>
        <w:t xml:space="preserve">145. Представленный ниже график реализации является ориентировочным и может быть изменен с учетом фактического хода реализации ПИЗП в рамках проекта. Однако, в графике работ настоящего отчета февраль 2020 г. упоминается в качестве начальной даты, начиная с обновления ПИЗП, его внедрения и мониторинга. Сроки обновления/подготовки, реализации ПИЗП, а также пост-проектные мероприятия указаны в Таблице 10.1 с учетом различных этапов, которые предполагается включить в настоящий ПИЗП. Как указано в таблице, изъятие земли и переселение планируется завершить к январю 2021 года, а мониторинг будет продолжаться до завершения проекта в 2022 году.</w:t>
      </w:r>
    </w:p>
    <w:p>
      <w:pPr>
        <w:spacing w:after="120"/>
        <w:jc w:val="both"/>
      </w:pPr>
      <w:r>
        <w:rPr>
          <w:rFonts w:ascii="Arial" w:cs="Arial" w:eastAsia="Arial" w:hAnsi="Arial"/>
          <w:b/>
          <w:bCs/>
          <w:sz w:val="24"/>
          <w:szCs w:val="24"/>
        </w:rPr>
        <w:t xml:space="preserve">Таблица 10.1: Этапы реализации ПИЗП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3456"/>
        <w:gridCol w:w="2296"/>
        <w:gridCol w:w="1455"/>
        <w:gridCol w:w="2388"/>
      </w:tblGrid>
      <w:tr>
        <w:tc>
          <w:tcPr>
            <w:tcW w:type="dxa" w:w="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2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Ответственность</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Крайний срок</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Комментарии</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Подготовительные мероприятия</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Подготовка/обновление ПИЗП и представление комментариев к нему</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августа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Окончательная доработка ПИЗП с учетом комментариев и представление на одобрение</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сентября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МТИД КР обновленного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сентября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невозражения ЕАБР на обновленный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 2020 г.</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и утверждение ПИЗП Министерством финансов, Министерством юстиций и другими органами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и утверждение ПИЗП Правительством Кыргызской Республики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ПИЗП среди затронутых районов и администраций сел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ИБП среди ЗДХ</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Команды по реализации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плана реализации ПИЗП в ЕАБР</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Слушания в затрагиваемых проектом селах</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ноября,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договоров ИЗП между МТИД КР и ЗЛ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КИЗП, ГРИП, юрист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декабря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мобилизации команды по реализации ПИЗП</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компенсационных выплат ЗЛ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декабря 2020 по 31 января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недели после подписания окончательных договоров и производства платежей в течение следующих двух месяцев</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временно затронутых домов и предприятий</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 МК, подрядчик</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марта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выплаты окончательных компенсаций</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земли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 подрядчик</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марта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выплаты окончательных компенсаций</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 отчетность</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обновление базы данных 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2020 - январь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на основе результатов ДЗИ и оценки стоимости</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2020 - март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Начиная с реализации ПИЗП до его завершения</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ежемесячных, ежеквартальных, полугодовых и годовых отчетов о ходе работ</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2019 - до завершения проекта</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упомянутому в контакте</w:t>
            </w:r>
          </w:p>
        </w:tc>
      </w:tr>
    </w:tbl>
    <w:p>
      <w:pPr>
        <w:spacing w:after="120"/>
        <w:jc w:val="both"/>
      </w:pPr>
      <w:r>
        <w:rPr>
          <w:rFonts w:ascii="Arial" w:cs="Arial" w:eastAsia="Arial" w:hAnsi="Arial"/>
          <w:sz w:val="24"/>
          <w:szCs w:val="24"/>
        </w:rPr>
        <w:t xml:space="preserve">ЕАБР = Евразийский банк развития; КСН = Консультант по строительному надзору; ГРИП = Группа реализации инвестиционных проектов; ГРЖ = Группа по рассмотрению жалоб; ИЗП = изъятие земли и переселение; КИЗП = Комиссия по изъятию земли и переселению; МТИД КР = Министерство транспорта и дорог КР; ИПБ = информационная брошюра по переселению.</w:t>
      </w:r>
    </w:p>
    <w:p>
      <w:pPr>
        <w:spacing w:after="120"/>
        <w:jc w:val="both"/>
      </w:pPr>
      <w:r>
        <w:rPr>
          <w:rFonts w:ascii="Arial" w:cs="Arial" w:eastAsia="Arial" w:hAnsi="Arial"/>
          <w:b/>
          <w:bCs/>
          <w:sz w:val="24"/>
          <w:szCs w:val="24"/>
        </w:rPr>
        <w:t xml:space="preserve">ГЛАВА 11. МОНИТОРИНГ И ОЦЕНКА</w:t>
      </w:r>
    </w:p>
    <w:p>
      <w:pPr>
        <w:spacing w:after="120"/>
        <w:jc w:val="both"/>
      </w:pPr>
      <w:r>
        <w:rPr>
          <w:rFonts w:ascii="Arial" w:cs="Arial" w:eastAsia="Arial" w:hAnsi="Arial"/>
          <w:b/>
          <w:bCs/>
          <w:sz w:val="24"/>
          <w:szCs w:val="24"/>
        </w:rPr>
        <w:t xml:space="preserve">11.1. Общая информация</w:t>
      </w:r>
    </w:p>
    <w:p>
      <w:pPr>
        <w:spacing w:after="120"/>
        <w:jc w:val="both"/>
      </w:pPr>
      <w:r>
        <w:rPr>
          <w:rFonts w:ascii="Arial" w:cs="Arial" w:eastAsia="Arial" w:hAnsi="Arial"/>
          <w:sz w:val="24"/>
          <w:szCs w:val="24"/>
        </w:rPr>
        <w:t xml:space="preserve">146. При реализации ПИЗП будет подлежать внутреннему мониторингу. Внутренний мониторинг будет сосредоточен на ходе реализации ПИЗП и будет проводиться ГРИП при содействии КИЗП и Консультанта проекта по строительному надзору. Внутренний мониторинг будет на регулярной основе проводиться в течение всего проектного периода, обеспечивая МТИД КР эффективной основой для контроля хода переселения и выявления потенциальных трудностей и проблемных областей. Указанный внутренний мониторинг будет проводиться ГРИП при содействии КСН с составлением ежемесячных, ежеквартальных и полугодовых отчетов о ходе мониторинга для представления в МТИД/ЕАБР. МТИД будет представлять все отчеты о проведенном мониторинге на рассмотрение ЕАБР.</w:t>
      </w:r>
    </w:p>
    <w:p>
      <w:pPr>
        <w:spacing w:after="120"/>
        <w:jc w:val="both"/>
      </w:pPr>
      <w:r>
        <w:rPr>
          <w:rFonts w:ascii="Arial" w:cs="Arial" w:eastAsia="Arial" w:hAnsi="Arial"/>
          <w:b/>
          <w:bCs/>
          <w:sz w:val="24"/>
          <w:szCs w:val="24"/>
        </w:rPr>
        <w:t xml:space="preserve">11.2. Внутренний мониторинг</w:t>
      </w:r>
    </w:p>
    <w:p>
      <w:pPr>
        <w:spacing w:after="120"/>
        <w:jc w:val="both"/>
      </w:pPr>
      <w:r>
        <w:rPr>
          <w:rFonts w:ascii="Arial" w:cs="Arial" w:eastAsia="Arial" w:hAnsi="Arial"/>
          <w:sz w:val="24"/>
          <w:szCs w:val="24"/>
        </w:rPr>
        <w:t xml:space="preserve">147. Внутренний мониторинг реализации ПИЗП будет осуществляться в течение всего периода реализации проекта. Регулярный мониторинг хода переселения позволит выявить потенциальные трудности и проблемные области. Основными задачами мониторинга являются:</w:t>
      </w:r>
    </w:p>
    <w:p>
      <w:pPr>
        <w:spacing w:after="120"/>
        <w:jc w:val="both"/>
      </w:pPr>
      <w:r>
        <w:rPr>
          <w:rFonts w:ascii="Arial" w:cs="Arial" w:eastAsia="Arial" w:hAnsi="Arial"/>
          <w:sz w:val="24"/>
          <w:szCs w:val="24"/>
        </w:rPr>
        <w:t xml:space="preserve">- отслеживание хода реализации ПИЗП и проверка соблюдения сроков;</w:t>
      </w:r>
    </w:p>
    <w:p>
      <w:pPr>
        <w:spacing w:after="120"/>
        <w:jc w:val="both"/>
      </w:pPr>
      <w:r>
        <w:rPr>
          <w:rFonts w:ascii="Arial" w:cs="Arial" w:eastAsia="Arial" w:hAnsi="Arial"/>
          <w:sz w:val="24"/>
          <w:szCs w:val="24"/>
        </w:rPr>
        <w:t xml:space="preserve">- оценка соответствия компенсационных выплат, реабилитационных мер и уровня поддержки социального развития установленным требованиям;</w:t>
      </w:r>
    </w:p>
    <w:p>
      <w:pPr>
        <w:spacing w:after="120"/>
        <w:jc w:val="both"/>
      </w:pPr>
      <w:r>
        <w:rPr>
          <w:rFonts w:ascii="Arial" w:cs="Arial" w:eastAsia="Arial" w:hAnsi="Arial"/>
          <w:sz w:val="24"/>
          <w:szCs w:val="24"/>
        </w:rPr>
        <w:t xml:space="preserve">- выявление потенциальных проблем и ограничений, связанных с ПИЗП;</w:t>
      </w:r>
    </w:p>
    <w:p>
      <w:pPr>
        <w:spacing w:after="120"/>
        <w:jc w:val="both"/>
      </w:pPr>
      <w:r>
        <w:rPr>
          <w:rFonts w:ascii="Arial" w:cs="Arial" w:eastAsia="Arial" w:hAnsi="Arial"/>
          <w:sz w:val="24"/>
          <w:szCs w:val="24"/>
        </w:rPr>
        <w:t xml:space="preserve">- определение методов немедленного/оперативного реагирования для смягчения существующих или потенциальных проблем;</w:t>
      </w:r>
    </w:p>
    <w:p>
      <w:pPr>
        <w:spacing w:after="120"/>
        <w:jc w:val="both"/>
      </w:pPr>
      <w:r>
        <w:rPr>
          <w:rFonts w:ascii="Arial" w:cs="Arial" w:eastAsia="Arial" w:hAnsi="Arial"/>
          <w:sz w:val="24"/>
          <w:szCs w:val="24"/>
        </w:rPr>
        <w:t xml:space="preserve">- обеспечение своевременной и эффективной работы ГРЖ и урегулирование ими жалоб, если таковые имеются; а также</w:t>
      </w:r>
    </w:p>
    <w:p>
      <w:pPr>
        <w:spacing w:after="120"/>
        <w:jc w:val="both"/>
      </w:pPr>
      <w:r>
        <w:rPr>
          <w:rFonts w:ascii="Arial" w:cs="Arial" w:eastAsia="Arial" w:hAnsi="Arial"/>
          <w:sz w:val="24"/>
          <w:szCs w:val="24"/>
        </w:rPr>
        <w:t xml:space="preserve">- обеспечение восстановления или улучшения уровня жизни ЗЛ;</w:t>
      </w:r>
    </w:p>
    <w:p>
      <w:pPr>
        <w:spacing w:after="120"/>
        <w:jc w:val="both"/>
      </w:pPr>
      <w:r>
        <w:rPr>
          <w:rFonts w:ascii="Arial" w:cs="Arial" w:eastAsia="Arial" w:hAnsi="Arial"/>
          <w:sz w:val="24"/>
          <w:szCs w:val="24"/>
        </w:rPr>
        <w:t xml:space="preserve">- обеспечение участия затронутых лиц в осуществлении мониторинга.</w:t>
      </w:r>
    </w:p>
    <w:p>
      <w:pPr>
        <w:spacing w:after="120"/>
        <w:jc w:val="both"/>
      </w:pPr>
      <w:r>
        <w:rPr>
          <w:rFonts w:ascii="Arial" w:cs="Arial" w:eastAsia="Arial" w:hAnsi="Arial"/>
          <w:sz w:val="24"/>
          <w:szCs w:val="24"/>
        </w:rPr>
        <w:t xml:space="preserve">148. Вовлечение затронутых лиц в осуществлении мониторинга и сбор необходимой вышеуказанной информации будет осуществляться посредством следующих методов:</w:t>
      </w:r>
    </w:p>
    <w:p>
      <w:pPr>
        <w:spacing w:after="120"/>
        <w:jc w:val="both"/>
      </w:pPr>
      <w:r>
        <w:rPr>
          <w:rFonts w:ascii="Arial" w:cs="Arial" w:eastAsia="Arial" w:hAnsi="Arial"/>
          <w:sz w:val="24"/>
          <w:szCs w:val="24"/>
        </w:rPr>
        <w:t xml:space="preserve">- обзор и изучение данных и результатов социально-экономического обследования ЗЛ;</w:t>
      </w:r>
    </w:p>
    <w:p>
      <w:pPr>
        <w:spacing w:after="120"/>
        <w:jc w:val="both"/>
      </w:pPr>
      <w:r>
        <w:rPr>
          <w:rFonts w:ascii="Arial" w:cs="Arial" w:eastAsia="Arial" w:hAnsi="Arial"/>
          <w:sz w:val="24"/>
          <w:szCs w:val="24"/>
        </w:rPr>
        <w:t xml:space="preserve">- консультации и проведение неформальных встреч и интервью с ЗЛ;</w:t>
      </w:r>
    </w:p>
    <w:p>
      <w:pPr>
        <w:spacing w:after="120"/>
        <w:jc w:val="both"/>
      </w:pPr>
      <w:r>
        <w:rPr>
          <w:rFonts w:ascii="Arial" w:cs="Arial" w:eastAsia="Arial" w:hAnsi="Arial"/>
          <w:sz w:val="24"/>
          <w:szCs w:val="24"/>
        </w:rPr>
        <w:t xml:space="preserve">- выборочное исследование ЗЛ;</w:t>
      </w:r>
    </w:p>
    <w:p>
      <w:pPr>
        <w:spacing w:after="120"/>
        <w:jc w:val="both"/>
      </w:pPr>
      <w:r>
        <w:rPr>
          <w:rFonts w:ascii="Arial" w:cs="Arial" w:eastAsia="Arial" w:hAnsi="Arial"/>
          <w:sz w:val="24"/>
          <w:szCs w:val="24"/>
        </w:rPr>
        <w:t xml:space="preserve">- интервью с ключевыми носителями информации;</w:t>
      </w:r>
    </w:p>
    <w:p>
      <w:pPr>
        <w:spacing w:after="120"/>
        <w:jc w:val="both"/>
      </w:pPr>
      <w:r>
        <w:rPr>
          <w:rFonts w:ascii="Arial" w:cs="Arial" w:eastAsia="Arial" w:hAnsi="Arial"/>
          <w:sz w:val="24"/>
          <w:szCs w:val="24"/>
        </w:rPr>
        <w:t xml:space="preserve">- общественные консультации и встречи.</w:t>
      </w:r>
    </w:p>
    <w:p>
      <w:pPr>
        <w:spacing w:after="120"/>
        <w:jc w:val="both"/>
      </w:pPr>
      <w:r>
        <w:rPr>
          <w:rFonts w:ascii="Arial" w:cs="Arial" w:eastAsia="Arial" w:hAnsi="Arial"/>
          <w:sz w:val="24"/>
          <w:szCs w:val="24"/>
        </w:rPr>
        <w:t xml:space="preserve">Ответственность за проведение внутреннего мониторинга несет специалист ГРИП по социальной защите. Масштаб внутреннего мониторинга включает, кроме прочего, следующее:</w:t>
      </w:r>
    </w:p>
    <w:p>
      <w:pPr>
        <w:spacing w:after="120"/>
        <w:jc w:val="both"/>
      </w:pPr>
      <w:r>
        <w:rPr>
          <w:rFonts w:ascii="Arial" w:cs="Arial" w:eastAsia="Arial" w:hAnsi="Arial"/>
          <w:sz w:val="24"/>
          <w:szCs w:val="24"/>
        </w:rPr>
        <w:t xml:space="preserve">- обнародование информации и проведение слушаний для затронутых проектом лиц;</w:t>
      </w:r>
    </w:p>
    <w:p>
      <w:pPr>
        <w:spacing w:after="120"/>
        <w:jc w:val="both"/>
      </w:pPr>
      <w:r>
        <w:rPr>
          <w:rFonts w:ascii="Arial" w:cs="Arial" w:eastAsia="Arial" w:hAnsi="Arial"/>
          <w:sz w:val="24"/>
          <w:szCs w:val="24"/>
        </w:rPr>
        <w:t xml:space="preserve">- ход подписания договоров ИЗП между МТИД и ЗДХ;</w:t>
      </w:r>
    </w:p>
    <w:p>
      <w:pPr>
        <w:spacing w:after="120"/>
        <w:jc w:val="both"/>
      </w:pPr>
      <w:r>
        <w:rPr>
          <w:rFonts w:ascii="Arial" w:cs="Arial" w:eastAsia="Arial" w:hAnsi="Arial"/>
          <w:sz w:val="24"/>
          <w:szCs w:val="24"/>
        </w:rPr>
        <w:t xml:space="preserve">- ход выплаты компенсаций и пособий;</w:t>
      </w:r>
    </w:p>
    <w:p>
      <w:pPr>
        <w:spacing w:after="120"/>
        <w:jc w:val="both"/>
      </w:pPr>
      <w:r>
        <w:rPr>
          <w:rFonts w:ascii="Arial" w:cs="Arial" w:eastAsia="Arial" w:hAnsi="Arial"/>
          <w:sz w:val="24"/>
          <w:szCs w:val="24"/>
        </w:rPr>
        <w:t xml:space="preserve">- ход расчистки земли для проведения строительных работ;</w:t>
      </w:r>
    </w:p>
    <w:p>
      <w:pPr>
        <w:spacing w:after="120"/>
        <w:jc w:val="both"/>
      </w:pPr>
      <w:r>
        <w:rPr>
          <w:rFonts w:ascii="Arial" w:cs="Arial" w:eastAsia="Arial" w:hAnsi="Arial"/>
          <w:sz w:val="24"/>
          <w:szCs w:val="24"/>
        </w:rPr>
        <w:t xml:space="preserve">- ход перемещения затронутых проектом домохозяйств;</w:t>
      </w:r>
    </w:p>
    <w:p>
      <w:pPr>
        <w:spacing w:after="120"/>
        <w:jc w:val="both"/>
      </w:pPr>
      <w:r>
        <w:rPr>
          <w:rFonts w:ascii="Arial" w:cs="Arial" w:eastAsia="Arial" w:hAnsi="Arial"/>
          <w:sz w:val="24"/>
          <w:szCs w:val="24"/>
        </w:rPr>
        <w:t xml:space="preserve">- ход перемещения затронутых проектом магазинов и предприятий;</w:t>
      </w:r>
    </w:p>
    <w:p>
      <w:pPr>
        <w:spacing w:after="120"/>
        <w:jc w:val="both"/>
      </w:pPr>
      <w:r>
        <w:rPr>
          <w:rFonts w:ascii="Arial" w:cs="Arial" w:eastAsia="Arial" w:hAnsi="Arial"/>
          <w:sz w:val="24"/>
          <w:szCs w:val="24"/>
        </w:rPr>
        <w:t xml:space="preserve">- случаи жалоб и статус их разрешения; а также</w:t>
      </w:r>
    </w:p>
    <w:p>
      <w:pPr>
        <w:spacing w:after="120"/>
        <w:jc w:val="both"/>
      </w:pPr>
      <w:r>
        <w:rPr>
          <w:rFonts w:ascii="Arial" w:cs="Arial" w:eastAsia="Arial" w:hAnsi="Arial"/>
          <w:sz w:val="24"/>
          <w:szCs w:val="24"/>
        </w:rPr>
        <w:t xml:space="preserve">- вопросы/проблемы, разъяснения и/или ответные действия и предложения.</w:t>
      </w:r>
    </w:p>
    <w:p>
      <w:pPr>
        <w:spacing w:after="120"/>
        <w:jc w:val="both"/>
      </w:pPr>
      <w:r>
        <w:rPr>
          <w:rFonts w:ascii="Arial" w:cs="Arial" w:eastAsia="Arial" w:hAnsi="Arial"/>
          <w:sz w:val="24"/>
          <w:szCs w:val="24"/>
        </w:rPr>
        <w:t xml:space="preserve">149. Сбор данных для вышеуказанных задач будет осуществляться ГРИП при содействии консультанта по надзору и КИЗП. Наряду с внедрением ПИЗП, ГРИП создаст базу данных ИЗП на основе результатов ДЗИ и оценки стоимости. Данные, собранные в ходе мониторинга, будут затем использоваться для обновления базы данных на ежемесячной основе. Печатные копии информации, содержащейся в базе данных, также будут документально оформляться на ежемесячной основе.</w:t>
      </w:r>
    </w:p>
    <w:p>
      <w:pPr>
        <w:spacing w:after="120"/>
        <w:jc w:val="both"/>
      </w:pPr>
      <w:r>
        <w:rPr>
          <w:rFonts w:ascii="Arial" w:cs="Arial" w:eastAsia="Arial" w:hAnsi="Arial"/>
          <w:sz w:val="24"/>
          <w:szCs w:val="24"/>
        </w:rPr>
        <w:t xml:space="preserve">150. Отчет о внутреннем мониторинге должен представляться в МТИД КР и ЕАБР ежемесячно и ежеквартально с указанием статуса реализации переселения в рамках проекта. Кроме того, будут также подготовлены полугодовые и годовые отчеты о мониторинге в качестве отдельного приложения к соответствующим общим отчетам о ходе реализации проекта. В контексте указанных отчетов информация о мероприятиях по ИЗП, проведенных в течение отчетных периодов, будет сведена в таблицу, чтобы отразить ход работ путем анализа базы данных ИЗП, а также сравнения фактических и запланированных сроков реализации.</w:t>
      </w:r>
    </w:p>
    <w:p>
      <w:pPr>
        <w:spacing w:after="120"/>
        <w:jc w:val="both"/>
      </w:pPr>
      <w:r>
        <w:rPr>
          <w:rFonts w:ascii="Arial" w:cs="Arial" w:eastAsia="Arial" w:hAnsi="Arial"/>
          <w:sz w:val="24"/>
          <w:szCs w:val="24"/>
        </w:rPr>
        <w:t xml:space="preserve">151. Для мониторинга целей проекта будет использоваться ряд показателей в рамках упомянутого выше внутреннего мониторинга. Эти показатели послужат основой для мониторинга и оценки реализации ПИЗП. Информация, собранная в ходе ДЗИ и исследования домохозяйств, послужит ориентиром для сравнения социально-экономического статуса ЗЛ в связи с реализацией проекта. Ключевой целью мониторинга является оценка доходов и качества жизни ЗЛ.</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 курсу НБ КР на 26.08.2020 года 1 USD = 77,94 сом.</w:t>
      </w:r>
    </w:p>
    <w:p>
      <w:pPr>
        <w:spacing w:after="120"/>
        <w:jc w:val="both"/>
      </w:pPr>
      <w:r>
        <w:rPr>
          <w:rFonts w:ascii="Arial" w:cs="Arial" w:eastAsia="Arial" w:hAnsi="Arial"/>
          <w:sz w:val="24"/>
          <w:szCs w:val="24"/>
        </w:rPr>
        <w:t xml:space="preserve">(2) Источник: http//hdr_undp.org/en/countries/profiles/KGZ, Информационная справка по странам "Доклада о человеческом развитии", 2019 г.</w:t>
      </w:r>
    </w:p>
    <w:p>
      <w:pPr>
        <w:spacing w:after="120"/>
        <w:jc w:val="both"/>
      </w:pPr>
      <w:r>
        <w:rPr>
          <w:rFonts w:ascii="Arial" w:cs="Arial" w:eastAsia="Arial" w:hAnsi="Arial"/>
          <w:sz w:val="24"/>
          <w:szCs w:val="24"/>
        </w:rPr>
        <w:t xml:space="preserve">(3) Источник: Экономика Кыргызстана - Wikipedia - Социально-экономические данные - 2018 г. и "Коэффициент численности малоимущих на нижней границе прожиточного минимума".</w:t>
      </w:r>
    </w:p>
    <w:p>
      <w:pPr>
        <w:spacing w:after="120"/>
        <w:jc w:val="both"/>
      </w:pPr>
      <w:r>
        <w:rPr>
          <w:rFonts w:ascii="Arial" w:cs="Arial" w:eastAsia="Arial" w:hAnsi="Arial"/>
          <w:sz w:val="24"/>
          <w:szCs w:val="24"/>
        </w:rPr>
        <w:t xml:space="preserve">(4) В рамках ДЗИ было установлено 4 ЗДХ, которые незаконно используют государственную/муниципальную землю, требующую оформление.</w:t>
      </w:r>
    </w:p>
    <w:p>
      <w:pPr>
        <w:spacing w:after="120"/>
        <w:jc w:val="both"/>
      </w:pPr>
      <w:r>
        <w:rPr>
          <w:rFonts w:ascii="Arial" w:cs="Arial" w:eastAsia="Arial" w:hAnsi="Arial"/>
          <w:sz w:val="24"/>
          <w:szCs w:val="24"/>
        </w:rPr>
        <w:t xml:space="preserve">(5) ГРИП была сформирована на основании официального приказа от 01.02.2010 № 10-к/1 по согласованию с Министерством финансов Кыргызской Республики. Впоследствии ГРИП была подразделена на ГРИП (АБР) и ГРИП (ВБ) согласно Приказу МТИД КР № 182 от 26 мая 2017 года. Настоящий ПИЗП будет реализован в рамках ГРИП АБР.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Социально-экономические данные/таблицы затронутых проектом районов</w:t>
      </w:r>
    </w:p>
    <w:p>
      <w:pPr>
        <w:spacing w:after="120"/>
        <w:jc w:val="both"/>
      </w:pPr>
      <w:r>
        <w:rPr>
          <w:rFonts w:ascii="Arial" w:cs="Arial" w:eastAsia="Arial" w:hAnsi="Arial"/>
          <w:b/>
          <w:bCs/>
          <w:sz w:val="24"/>
          <w:szCs w:val="24"/>
        </w:rPr>
        <w:t xml:space="preserve">Таблица А-1: Этническая и религиозная принадлежность населения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911"/>
        <w:gridCol w:w="1594"/>
        <w:gridCol w:w="1867"/>
        <w:gridCol w:w="1553"/>
        <w:gridCol w:w="1840"/>
      </w:tblGrid>
      <w:tr>
        <w:tc>
          <w:tcPr>
            <w:tcW w:type="dxa" w:w="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демографические показатели</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1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5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8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Население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кол-во ДХ</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25320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38244</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54622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118186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мужского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70385
 (50,4)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93369
 (50,2)</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150107
 (50,9)</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313861
 (50,4)</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женского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69376
 (49,6)</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92801
 (49,8)</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144858
 (49,1)</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307035
 (49,6)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294965</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620917
 (100)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семьи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полов (М/Ж*100)</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Этнический состав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96941
 (69,4)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113781
 (61,1)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177495
 (60,2)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388217
 (62,5)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39463
 (28,2)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71186
 (38,2)</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
 (0,3)</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217243
 (35,1)</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
 (1,0)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
 (0,3)</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106994
 (36,2)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
 (0,4)</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(0,2)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(0,1)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(0,2)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
 (0,2)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
 (1,2)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(0,3)</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9209
 (3,1)</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
 (1,8)</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186181
 (100)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294965
 (100)</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620917
 (100)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Религия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Мусульмане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136738
 (97,8)</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186064
 (99,1)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322802
 (99,0)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Христиане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
 (0,17)</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(0,1)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(0,1)</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Атеисты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
 (2,0)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
 (0,9)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
 (100)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325952
 (100)</w:t>
            </w:r>
          </w:p>
        </w:tc>
      </w:tr>
    </w:tbl>
    <w:p>
      <w:pPr>
        <w:spacing w:after="120"/>
        <w:jc w:val="both"/>
      </w:pPr>
      <w:r>
        <w:rPr>
          <w:rFonts w:ascii="Arial" w:cs="Arial" w:eastAsia="Arial" w:hAnsi="Arial"/>
          <w:sz w:val="24"/>
          <w:szCs w:val="24"/>
        </w:rPr>
        <w:t xml:space="preserve">Примечание: цифры в скобках обозначают проценты.</w:t>
      </w:r>
    </w:p>
    <w:p>
      <w:pPr>
        <w:spacing w:after="120"/>
        <w:jc w:val="both"/>
      </w:pPr>
      <w:r>
        <w:rPr>
          <w:rFonts w:ascii="Arial" w:cs="Arial" w:eastAsia="Arial" w:hAnsi="Arial"/>
          <w:b/>
          <w:bCs/>
          <w:sz w:val="24"/>
          <w:szCs w:val="24"/>
        </w:rPr>
        <w:t xml:space="preserve">Таблица А-2: Состав населения по половой принадлежности и группам с большими возрастными интервалами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8"/>
        <w:gridCol w:w="1696"/>
        <w:gridCol w:w="1696"/>
        <w:gridCol w:w="1696"/>
        <w:gridCol w:w="1696"/>
        <w:gridCol w:w="1696"/>
      </w:tblGrid>
      <w:tr>
        <w:tc>
          <w:tcPr>
            <w:tcW w:type="dxa" w:w="16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Население по половому признаку</w:t>
            </w:r>
          </w:p>
        </w:tc>
        <w:tc>
          <w:tcPr>
            <w:tcW w:type="dxa" w:w="6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по группам с большими возрастными интервалами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Выше 60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17261
 (24,5%)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49122
 (69,8%)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4012
 (5,7%)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70395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
 (23,3%)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47938
 (69,1%)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
 (7,6%)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69376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33439
 (23,9%)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97060
 (69,5%)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9272
 (6,6%)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32452
 (51,4%)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56596
 (51,4%)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4217
 (32,6%)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93265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30773
 (33,1%)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53438
 (57,5%)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8705
 (9,4%)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92916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63225
 (34,0%)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110034
 (59,1%)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12922
 (6,9%)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39407
 (26,3%)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102502
 (68,2%)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8198
 (5,5%)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150107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36988
 (25,5%)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97866
 (67,6%)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10004
 (6,9%)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144858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76395
 (25,9%)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200368
 (67,9%)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18202
 (6,2%)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294965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89120
 (28,4%)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208220
 (66,4%)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16427
 (5,2%)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313767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83939
 (27,3%)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799242
 (64,9%)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23969
 (7,8%)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307150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173059
 (27,9%)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407462
 (65,6%)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40396
 (6,5%)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620917
 (100)</w:t>
            </w:r>
          </w:p>
        </w:tc>
      </w:tr>
    </w:tbl>
    <w:p>
      <w:pPr>
        <w:spacing w:after="120"/>
        <w:jc w:val="both"/>
      </w:pPr>
      <w:r>
        <w:rPr>
          <w:rFonts w:ascii="Arial" w:cs="Arial" w:eastAsia="Arial" w:hAnsi="Arial"/>
          <w:sz w:val="24"/>
          <w:szCs w:val="24"/>
        </w:rPr>
        <w:t xml:space="preserve">Примечание: цифры в скобках обозначают проценты.</w:t>
      </w:r>
    </w:p>
    <w:p>
      <w:pPr>
        <w:spacing w:after="120"/>
        <w:jc w:val="both"/>
      </w:pPr>
      <w:r>
        <w:rPr>
          <w:rFonts w:ascii="Arial" w:cs="Arial" w:eastAsia="Arial" w:hAnsi="Arial"/>
          <w:b/>
          <w:bCs/>
          <w:sz w:val="24"/>
          <w:szCs w:val="24"/>
        </w:rPr>
        <w:t xml:space="preserve">Таблица А-3: Тип и количество образовательных учреждений, учреждений здравоохранения и общественных учреждений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2980"/>
        <w:gridCol w:w="1696"/>
        <w:gridCol w:w="1696"/>
        <w:gridCol w:w="1696"/>
        <w:gridCol w:w="1696"/>
      </w:tblGrid>
      <w:tr>
        <w:tc>
          <w:tcPr>
            <w:tcW w:type="dxa" w:w="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учреждения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
 (кол-во)</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Начальные школы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с начальными и средними классами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только со средними классами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Колледжи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Больницы/медицинские центры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культуры/Хала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заведения (указать)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r>
    </w:tbl>
    <w:p>
      <w:pPr>
        <w:spacing w:after="120"/>
        <w:jc w:val="both"/>
      </w:pPr>
      <w:r>
        <w:rPr>
          <w:rFonts w:ascii="Arial" w:cs="Arial" w:eastAsia="Arial" w:hAnsi="Arial"/>
          <w:b/>
          <w:bCs/>
          <w:sz w:val="24"/>
          <w:szCs w:val="24"/>
        </w:rPr>
        <w:t xml:space="preserve">Таблица А-4: Типы жилых домов затрагиваемых ДХ по видам используемых строительных материалов и количество комнат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7"/>
        <w:gridCol w:w="1327"/>
        <w:gridCol w:w="1327"/>
        <w:gridCol w:w="1618"/>
        <w:gridCol w:w="1618"/>
        <w:gridCol w:w="1240"/>
        <w:gridCol w:w="1240"/>
      </w:tblGrid>
      <w:tr>
        <w:tc>
          <w:tcPr>
            <w:tcW w:type="dxa" w:w="18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Объекты</w:t>
            </w:r>
          </w:p>
        </w:tc>
        <w:tc>
          <w:tcPr>
            <w:tcW w:type="dxa" w:w="2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
 кол-во ДХ</w:t>
            </w:r>
          </w:p>
        </w:tc>
        <w:tc>
          <w:tcPr>
            <w:tcW w:type="dxa" w:w="32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
 кол-во ДХ</w:t>
            </w:r>
          </w:p>
        </w:tc>
        <w:tc>
          <w:tcPr>
            <w:tcW w:type="dxa" w:w="24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
 кол-во ДХ</w:t>
            </w:r>
          </w:p>
        </w:tc>
      </w:tr>
      <w:tr>
        <w:tc>
          <w:tcPr>
            <w:vMerge w:val="continue"/>
            <w:tcBorders>
              <w:top w:val="single" w:color="CBBF9E" w:sz="4"/>
              <w:left w:val="single" w:color="CBBF9E" w:sz="4"/>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Типы домов по видам строительных материалов</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Глина/кирпич</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10492</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Кирпич/черепица</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Саман</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17488</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Количество комнат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или менее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или более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А-5: Источники питьевой воды населения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1152"/>
        <w:gridCol w:w="1152"/>
        <w:gridCol w:w="1150"/>
        <w:gridCol w:w="1150"/>
        <w:gridCol w:w="1150"/>
        <w:gridCol w:w="1150"/>
      </w:tblGrid>
      <w:tr>
        <w:tc>
          <w:tcPr>
            <w:tcW w:type="dxa" w:w="3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питьевой воды</w:t>
            </w:r>
          </w:p>
        </w:tc>
        <w:tc>
          <w:tcPr>
            <w:tcW w:type="dxa" w:w="23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3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3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Трубопроводная вода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45147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Общественные колонки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10326</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Собственные глубокие скважины</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11858</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Баки с водой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Другое (указать)</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38244</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47558</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w:t>
            </w:r>
          </w:p>
        </w:tc>
      </w:tr>
    </w:tbl>
    <w:p>
      <w:pPr>
        <w:spacing w:after="120"/>
        <w:jc w:val="both"/>
      </w:pPr>
      <w:r>
        <w:rPr>
          <w:rFonts w:ascii="Arial" w:cs="Arial" w:eastAsia="Arial" w:hAnsi="Arial"/>
          <w:b/>
          <w:bCs/>
          <w:sz w:val="24"/>
          <w:szCs w:val="24"/>
        </w:rPr>
        <w:t xml:space="preserve">Таблица А-6: Тип санитарных помещений, используемых населением домохозяйств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1"/>
        <w:gridCol w:w="1192"/>
        <w:gridCol w:w="1192"/>
        <w:gridCol w:w="1190"/>
        <w:gridCol w:w="1190"/>
        <w:gridCol w:w="1262"/>
        <w:gridCol w:w="1262"/>
      </w:tblGrid>
      <w:tr>
        <w:tc>
          <w:tcPr>
            <w:tcW w:type="dxa" w:w="2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санитарных помещений</w:t>
            </w:r>
          </w:p>
        </w:tc>
        <w:tc>
          <w:tcPr>
            <w:tcW w:type="dxa" w:w="23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3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5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Туалет с выгребной ямой</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Унитаз в доме</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Другое (указать)</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А-7: Доступ к электричеству и топл иву для приготовления пищи, освещения/отопления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8"/>
        <w:gridCol w:w="940"/>
        <w:gridCol w:w="940"/>
        <w:gridCol w:w="1069"/>
        <w:gridCol w:w="1069"/>
        <w:gridCol w:w="1081"/>
        <w:gridCol w:w="1081"/>
      </w:tblGrid>
      <w:tr>
        <w:tc>
          <w:tcPr>
            <w:tcW w:type="dxa" w:w="39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энергии/топлива</w:t>
            </w:r>
          </w:p>
        </w:tc>
        <w:tc>
          <w:tcPr>
            <w:tcW w:type="dxa" w:w="18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1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Электричество для освещения/отопления/приготовления пищи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34420</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для приготовления пищи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Дрова для приготовления пищи/отопления</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А-8: Основные сферы деятельности глав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1600"/>
        <w:gridCol w:w="2109"/>
        <w:gridCol w:w="1457"/>
        <w:gridCol w:w="1574"/>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Сферы деятельности глав ДХ</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и фермерство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
 (57,2%)</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14972
 (42,5%)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95000
 (93,2)</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110118
 (80,1%)</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Коммерческая деятельность</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(6,3%)</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
 (10,8%)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3841
 (2,8%)</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Физический труд/разнорабочие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(3,9)</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
 (10,9)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3860
 (2,8%)</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(государственные и частные)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
 (7,6%)</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(4,9%)</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7670
 (5,9%)</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Водители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(12,5%)</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
 (16,3%)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5769
 (4,2%)</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Пенсионеры</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(17,2%)</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
 (5,4%)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1954
 (1,4%)</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
 (1,1%)</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
 (1,9%)</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2299
 (1,7%)</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Домохозяйки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(3,1%)</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(5,4%)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1909
 (1,3%)</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
 (100)</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35244
 (100)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101920
 (100)</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137420</w:t>
            </w:r>
          </w:p>
        </w:tc>
      </w:tr>
    </w:tbl>
    <w:p>
      <w:pPr>
        <w:spacing w:after="120"/>
        <w:jc w:val="both"/>
      </w:pPr>
      <w:r>
        <w:rPr>
          <w:rFonts w:ascii="Arial" w:cs="Arial" w:eastAsia="Arial" w:hAnsi="Arial"/>
          <w:b/>
          <w:bCs/>
          <w:sz w:val="24"/>
          <w:szCs w:val="24"/>
        </w:rPr>
        <w:t xml:space="preserve">Таблица А-9: Ежемесячный доход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3"/>
        <w:gridCol w:w="866"/>
        <w:gridCol w:w="866"/>
        <w:gridCol w:w="1070"/>
        <w:gridCol w:w="1070"/>
        <w:gridCol w:w="866"/>
        <w:gridCol w:w="866"/>
        <w:gridCol w:w="1045"/>
        <w:gridCol w:w="1045"/>
      </w:tblGrid>
      <w:tr>
        <w:tc>
          <w:tcPr>
            <w:tcW w:type="dxa" w:w="24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Ежемесячный доход ДХ (KGS)</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c>
          <w:tcPr>
            <w:tcW w:type="dxa" w:w="2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vMerge w:val="continue"/>
            <w:tcBorders>
              <w:top w:val="single" w:color="CBBF9E" w:sz="4"/>
              <w:left w:val="single" w:color="CBBF9E" w:sz="4"/>
              <w:bottom w:val="single" w:color="CBBF9E" w:sz="4"/>
              <w:right w:val="single" w:color="CBBF9E" w:sz="4"/>
            </w:tcBorders>
          </w:tcP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5815</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5001-10000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21038</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10001-15000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15001-25000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25001-50000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50001, 100000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38244</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38444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rdyoddp5sojnhm8msfa">
      <w:r>
        <w:rPr>
          <w:rFonts w:ascii="Arial" w:cs="Arial" w:eastAsia="Arial" w:hAnsi="Arial"/>
          <w:color w:val="132D3F"/>
          <w:sz w:val="16"/>
          <w:szCs w:val="16"/>
          <w:u w:val="single"/>
        </w:rPr>
        <w:t xml:space="preserve">dalil.kg/document/218415</w:t>
      </w:r>
    </w:hyperlink>
  </w:p>
  <w:p>
    <w:pPr>
      <w:spacing w:after="0" w:before="40"/>
      <w:jc w:val="center"/>
    </w:pPr>
    <w:hyperlink w:history="1" r:id="rIdlkljhov80_cawonrnga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ifluj6gonpbr-6mjs90" Type="http://schemas.openxmlformats.org/officeDocument/2006/relationships/hyperlink" Target="https://dalil.kg/document/205326" TargetMode="External"/><Relationship Id="rId5yb-08vs1jl_4qdbx_snu" Type="http://schemas.openxmlformats.org/officeDocument/2006/relationships/hyperlink" Target="https://dalil.kg/document/21841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rdyoddp5sojnhm8msfa" Type="http://schemas.openxmlformats.org/officeDocument/2006/relationships/hyperlink" Target="https://dalil.kg/document/218415" TargetMode="External"/><Relationship Id="rIdlkljhov80_cawonrnga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2026-09-30T00:28:10.036Z</dcterms:created>
  <dcterms:modified xsi:type="dcterms:W3CDTF">2026-09-30T00:28:10.036Z</dcterms:modified>
</cp:coreProperties>
</file>

<file path=docProps/custom.xml><?xml version="1.0" encoding="utf-8"?>
<Properties xmlns="http://schemas.openxmlformats.org/officeDocument/2006/custom-properties" xmlns:vt="http://schemas.openxmlformats.org/officeDocument/2006/docPropsVTypes"/>
</file>