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2021 года № 42-р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wyjma1wbatz6ktxshc0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проведения внутригосударственных процедур: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sa47bzybfv55wqz9md0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Международной конвенции</w:t>
      </w:r>
      <w:r>
        <w:rPr>
          <w:rFonts w:ascii="Arial" w:cs="Arial" w:eastAsia="Arial" w:hAnsi="Arial"/>
          <w:sz w:val="24"/>
          <w:szCs w:val="24"/>
        </w:rPr>
        <w:t xml:space="preserve"> об упрощении и гармонизации таможенных процедур от 18 мая 1973 года (в редакции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Международную конвенцию об упрощении и гармонизации таможенных процедур от 26 июня 1999 года).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экономики и финансов Кыргызской Республики органом, ответственным за реализацию указанной Конвенции.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15 июня 2021 года № 42-р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
 Кабинета Министров Кыргызской Республики к Международной конвенции об упрощении и гармонизации таможенных процедур от 18 мая 1973 года (в редакции Протокола о внесении изменений в Международную конвенцию об упрощении и гармонизации таможенных процедур от 26 июня 1999 года)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Международная конвенция</w:t>
      </w:r>
      <w:r>
        <w:rPr>
          <w:rFonts w:ascii="Arial" w:cs="Arial" w:eastAsia="Arial" w:hAnsi="Arial"/>
          <w:sz w:val="20"/>
          <w:szCs w:val="20"/>
        </w:rPr>
        <w:t xml:space="preserve"> об упрощении и гармонизации таможенных процедур (далее - Конвенция) подписана в городе Киото в 1973 году. В 1999 году, в Брюсселе, Всемирной таможенной организацией была одобрена новая редакция Конвенции, которая вступила в силу 3 февраля 2006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Конвенция</w:t>
      </w:r>
      <w:r>
        <w:rPr>
          <w:rFonts w:ascii="Arial" w:cs="Arial" w:eastAsia="Arial" w:hAnsi="Arial"/>
          <w:sz w:val="20"/>
          <w:szCs w:val="20"/>
        </w:rPr>
        <w:t xml:space="preserve"> является основным таможенным документом в области упрощения таможенных процедур и направлена на стимулирование внешнеторговой деятельности путем введения единых подходов по вопросам таможенного регулирования, а также на упрощение и ускорение таможенных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 состоит из основного текста Конвенции, Генерального приложения, которые обязательны для присоединения, и Специальных приложений.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</w:t>
      </w:r>
      <w:r>
        <w:rPr>
          <w:rFonts w:ascii="Arial" w:cs="Arial" w:eastAsia="Arial" w:hAnsi="Arial"/>
          <w:sz w:val="20"/>
          <w:szCs w:val="20"/>
        </w:rPr>
        <w:t xml:space="preserve">статье 12</w:t>
      </w:r>
      <w:r>
        <w:rPr>
          <w:rFonts w:ascii="Arial" w:cs="Arial" w:eastAsia="Arial" w:hAnsi="Arial"/>
          <w:sz w:val="20"/>
          <w:szCs w:val="20"/>
        </w:rPr>
        <w:t xml:space="preserve"> Конвенции, все договаривающиеся стороны Конвенции соглашаются на обязательность Генерального приложения. При этом, договаривающаяся Сторона может принять обязательность одного или более Специальных приложений по своему усмотрению.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настоящее время договаривающимися Сторонами </w:t>
      </w:r>
      <w:r>
        <w:rPr>
          <w:rFonts w:ascii="Arial" w:cs="Arial" w:eastAsia="Arial" w:hAnsi="Arial"/>
          <w:sz w:val="20"/>
          <w:szCs w:val="20"/>
        </w:rPr>
        <w:t xml:space="preserve">Конвенции</w:t>
      </w:r>
      <w:r>
        <w:rPr>
          <w:rFonts w:ascii="Arial" w:cs="Arial" w:eastAsia="Arial" w:hAnsi="Arial"/>
          <w:sz w:val="20"/>
          <w:szCs w:val="20"/>
        </w:rPr>
        <w:t xml:space="preserve"> являются 120 государств. Из числа государств-членов Евразийского экономического союза к </w:t>
      </w:r>
      <w:r>
        <w:rPr>
          <w:rFonts w:ascii="Arial" w:cs="Arial" w:eastAsia="Arial" w:hAnsi="Arial"/>
          <w:sz w:val="20"/>
          <w:szCs w:val="20"/>
        </w:rPr>
        <w:t xml:space="preserve">Конвенции</w:t>
      </w:r>
      <w:r>
        <w:rPr>
          <w:rFonts w:ascii="Arial" w:cs="Arial" w:eastAsia="Arial" w:hAnsi="Arial"/>
          <w:sz w:val="20"/>
          <w:szCs w:val="20"/>
        </w:rPr>
        <w:t xml:space="preserve"> присоединены Республика Армения (с 19.07.2013), Республика Беларусь (с 10.01.2011), Республика Казахстан (с 19.06.2009) и Российская Федерация (с 04.04.2011).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Следует отметить, что при сопоставлении положений Генерального приложения с положениями Таможенного </w:t>
      </w:r>
      <w:r>
        <w:rPr>
          <w:rFonts w:ascii="Arial" w:cs="Arial" w:eastAsia="Arial" w:hAnsi="Arial"/>
          <w:sz w:val="20"/>
          <w:szCs w:val="20"/>
        </w:rPr>
        <w:t xml:space="preserve">кодекса</w:t>
      </w:r>
      <w:r>
        <w:rPr>
          <w:rFonts w:ascii="Arial" w:cs="Arial" w:eastAsia="Arial" w:hAnsi="Arial"/>
          <w:sz w:val="20"/>
          <w:szCs w:val="20"/>
        </w:rPr>
        <w:t xml:space="preserve"> Евразийского экономического союза и </w:t>
      </w:r>
      <w:r>
        <w:rPr>
          <w:rFonts w:ascii="Arial" w:cs="Arial" w:eastAsia="Arial" w:hAnsi="Arial"/>
          <w:sz w:val="20"/>
          <w:szCs w:val="20"/>
        </w:rPr>
        <w:t xml:space="preserve">Закона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 таможенном регулировании" выявлено, что концептуальных расхождений между ними нет. Основные принципы, изложенные в Генеральном приложении, отражены в Таможенном </w:t>
      </w:r>
      <w:r>
        <w:rPr>
          <w:rFonts w:ascii="Arial" w:cs="Arial" w:eastAsia="Arial" w:hAnsi="Arial"/>
          <w:sz w:val="20"/>
          <w:szCs w:val="20"/>
        </w:rPr>
        <w:t xml:space="preserve">кодексе</w:t>
      </w:r>
      <w:r>
        <w:rPr>
          <w:rFonts w:ascii="Arial" w:cs="Arial" w:eastAsia="Arial" w:hAnsi="Arial"/>
          <w:sz w:val="20"/>
          <w:szCs w:val="20"/>
        </w:rPr>
        <w:t xml:space="preserve"> Евразийского экономического союза и </w:t>
      </w:r>
      <w:r>
        <w:rPr>
          <w:rFonts w:ascii="Arial" w:cs="Arial" w:eastAsia="Arial" w:hAnsi="Arial"/>
          <w:sz w:val="20"/>
          <w:szCs w:val="20"/>
        </w:rPr>
        <w:t xml:space="preserve">Законе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 таможенном регулировании".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Присоединение Кыргызской Республики к Конвенции и Генеральному приложению влечет за собой реализацию мероприятий в сфере таможенного дела, в части вопросов декларирования, обжалования действий (бездействия) таможенных органов с учетом Стандартов Генерального приложения. Следует отметить, что данные мероприятия уже находятся в стадии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Таким образом, присоединение к </w:t>
      </w:r>
      <w:r>
        <w:rPr>
          <w:rFonts w:ascii="Arial" w:cs="Arial" w:eastAsia="Arial" w:hAnsi="Arial"/>
          <w:sz w:val="20"/>
          <w:szCs w:val="20"/>
        </w:rPr>
        <w:t xml:space="preserve">Конвенции</w:t>
      </w:r>
      <w:r>
        <w:rPr>
          <w:rFonts w:ascii="Arial" w:cs="Arial" w:eastAsia="Arial" w:hAnsi="Arial"/>
          <w:sz w:val="20"/>
          <w:szCs w:val="20"/>
        </w:rPr>
        <w:t xml:space="preserve"> позволит Кыргызской Республике совершенствовать таможенное регулирование, в том числе путем упрощения и ускорения таможенных процедур, применения современных методов таможенного контроля, максимально широкого использования информационных технологий, а также обеспечить соблюдение на практике соответствующих международных стандартов и беспрепятственный доступ к процедурам обжалования.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Принимая во внимание вышеотмеченное, учитывая, что </w:t>
      </w:r>
      <w:r>
        <w:rPr>
          <w:rFonts w:ascii="Arial" w:cs="Arial" w:eastAsia="Arial" w:hAnsi="Arial"/>
          <w:sz w:val="20"/>
          <w:szCs w:val="20"/>
        </w:rPr>
        <w:t xml:space="preserve">Конвенция</w:t>
      </w:r>
      <w:r>
        <w:rPr>
          <w:rFonts w:ascii="Arial" w:cs="Arial" w:eastAsia="Arial" w:hAnsi="Arial"/>
          <w:sz w:val="20"/>
          <w:szCs w:val="20"/>
        </w:rPr>
        <w:t xml:space="preserve"> является международным стандартом, в соответствии с которым большинство таможенных администраций в мире разрабатывают национальное таможенное законодательство, в котором содержатся обязательные положения, касающиеся реализации самых современных принципов и практик в области совершения таможенных операций, в целях обеспечения совершенствования таможенного регулирования предлагается присоединиться к </w:t>
      </w:r>
      <w:r>
        <w:rPr>
          <w:rFonts w:ascii="Arial" w:cs="Arial" w:eastAsia="Arial" w:hAnsi="Arial"/>
          <w:sz w:val="20"/>
          <w:szCs w:val="20"/>
        </w:rPr>
        <w:t xml:space="preserve">Конвенции</w:t>
      </w:r>
      <w:r>
        <w:rPr>
          <w:rFonts w:ascii="Arial" w:cs="Arial" w:eastAsia="Arial" w:hAnsi="Arial"/>
          <w:sz w:val="20"/>
          <w:szCs w:val="20"/>
        </w:rPr>
        <w:t xml:space="preserve">, без принятия обязательств по Специальным приложениям к </w:t>
      </w:r>
      <w:r>
        <w:rPr>
          <w:rFonts w:ascii="Arial" w:cs="Arial" w:eastAsia="Arial" w:hAnsi="Arial"/>
          <w:sz w:val="20"/>
          <w:szCs w:val="20"/>
        </w:rPr>
        <w:t xml:space="preserve">Конвенции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Конвенция</w:t>
      </w:r>
      <w:r>
        <w:rPr>
          <w:rFonts w:ascii="Arial" w:cs="Arial" w:eastAsia="Arial" w:hAnsi="Arial"/>
          <w:sz w:val="20"/>
          <w:szCs w:val="20"/>
        </w:rPr>
        <w:t xml:space="preserve"> соответствует нормам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и не противоречит нормам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Наряду с вышеизложенным сообщаем, что присоединение к </w:t>
      </w:r>
      <w:r>
        <w:rPr>
          <w:rFonts w:ascii="Arial" w:cs="Arial" w:eastAsia="Arial" w:hAnsi="Arial"/>
          <w:sz w:val="20"/>
          <w:szCs w:val="20"/>
        </w:rPr>
        <w:t xml:space="preserve">Конвенции</w:t>
      </w:r>
      <w:r>
        <w:rPr>
          <w:rFonts w:ascii="Arial" w:cs="Arial" w:eastAsia="Arial" w:hAnsi="Arial"/>
          <w:sz w:val="20"/>
          <w:szCs w:val="20"/>
        </w:rPr>
        <w:t xml:space="preserve"> не повлечет каких-либо негативных социальных, финансово-экономических, правовых, правозащитных, гендерных, экологических и коррупционных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Реализация мероприятий в рамках вступления в силу </w:t>
      </w:r>
      <w:r>
        <w:rPr>
          <w:rFonts w:ascii="Arial" w:cs="Arial" w:eastAsia="Arial" w:hAnsi="Arial"/>
          <w:sz w:val="20"/>
          <w:szCs w:val="20"/>
        </w:rPr>
        <w:t xml:space="preserve">Конвенции</w:t>
      </w:r>
      <w:r>
        <w:rPr>
          <w:rFonts w:ascii="Arial" w:cs="Arial" w:eastAsia="Arial" w:hAnsi="Arial"/>
          <w:sz w:val="20"/>
          <w:szCs w:val="20"/>
        </w:rPr>
        <w:t xml:space="preserve"> будет осуществляться в пределах средств, предусмотренных в республиканском бюджете.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0ys_0ddzi2ttnnhpof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dalil.kg/document/218573</w:t>
      </w:r>
    </w:hyperlink>
  </w:p>
  <w:p>
    <w:pPr>
      <w:spacing w:after="0" w:before="40"/>
      <w:jc w:val="center"/>
    </w:pPr>
    <w:hyperlink w:history="1" r:id="rIdxnexrsgokrqw0cbrrl6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jma1wbatz6ktxshc0ks" Type="http://schemas.openxmlformats.org/officeDocument/2006/relationships/hyperlink" Target="https://dalil.kg/document/203166#st_68" TargetMode="External"/><Relationship Id="rIdsa47bzybfv55wqz9md0-v" Type="http://schemas.openxmlformats.org/officeDocument/2006/relationships/hyperlink" Target="https://dalil.kg/document/218573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0ys_0ddzi2ttnnhpofsk" Type="http://schemas.openxmlformats.org/officeDocument/2006/relationships/hyperlink" Target="https://dalil.kg/document/218573" TargetMode="External"/><Relationship Id="rIdxnexrsgokrqw0cbrrl6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2026-09-29T16:31:29.366Z</dcterms:created>
  <dcterms:modified xsi:type="dcterms:W3CDTF">2026-09-29T16:31:29.366Z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