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2021 года № 604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u6vu7lpdroba7wkd6y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Кабинета Министров Кыргызской Республики на проекты законов Кыргызской Республики
 «Об упорядочении проведения свадеб, семейных торжеств, проводов покойного в последний путь и мероприятий, посвященных памяти покойного в Кыргызской Республике» и «О внесении изменений в Кодекс Кыргызской Республики о нарушениях», инициированные депутатом Жогорку Кенеша Кыргызской Республики У.З. Ормоновым.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распоряжением Председателя 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"16" ноября 2021 года № 604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 на проекты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законов Кыргызской Республики «Об упорядочении проведения свадеб, семейных торжеств, проводов покойного
 в последний путь и мероприятий, посвященных памяти покойного в Кыргызской Республике» и «О внесении изменений в
 Кодекс Кыргызской Республики о нарушениях»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hyperlink w:history="1" r:id="rIdtileygnvx5ocxwcczwd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рассмотрев проекты законов Кыргызской Республики «Об упорядочении проведения свадеб, семейных торжеств, проводов покойного в последний путь и мероприятий, посвященных памяти покойного в Кыргызской Республике» и «О внесении изменений в Кодекс Кыргызской Республики о нарушениях», инициированные депутатом Жогорку Кенеша Кыргызской Республики У.З. Ормоновым,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Закона Кыргызской Республики «Об упорядочении проведения свадеб, семейных торжеств, проводов покойного в последний путь и мероприятий, посвященных памяти покойного в Кыргызской Республике» (далее законопроект).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Согласно части 1 статьи 1 законопроекта обозначены цели, которыми являются защита социальных интересов граждан и установление мер по недопущению излишних расходов, наносящих серьезный ущерб экономическим интересам и моральным устоям жизни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целей и других норм законопроекта, следует, что законопроект направлен на ограничение совершения гражданами определенных действий при проведении ими свадеб, семейных торжеств, проводов покойного в последний путь и мероприятий, посвященных памяти покойного.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Так. например: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7 законопроекта предлагается закрепить, что семейные торжества, обряды и мероприятия проводятся с приглашением от 100 до 200 человек, а свадебные торжества должны проводиться в течение одного дня с банкетом от 200 до 300 человек. Церемония государственной регистрации брака в органах записи актов гражданского состояния проводится с использованием не более 3 легковых автомашин.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8 законопроекта мероприятия, посвященные памяти покойного, проводятся с приглашением от 200 до 300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1 статьи 9 законопроекта устанавливается строгий и ограниченный перечень мест, в которых возможно проведение торжеств и мероприятий, а частью 2 названной статьи законопроекта свадьбы, семейные торжества проводятся в выходные дни с 8.00 до 23.00 часов, а в рабочие дни - с 18.00 до 22.00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статьей 10 законопроекта устанавливается, что физические и юридические лица обязаны проводить свадебные, семейные торжества, проводы покойных в последний путь и мероприятия, посвященные памяти покойного, с соблюдением требований данного Закона и информировать ответственные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обращаем внимание, что согласно части 1 </w:t>
      </w:r>
      <w:hyperlink w:history="1" r:id="rIdwloes32jhkchpsy3vk6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(далее - Конституция) права и свободы человека относятся к высшим ценностям Кыргызской Республики. Они действуют непосредственно, определяют смысл и содержание деятельности всех государственных органов, органов местного самоуправления и их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2 </w:t>
      </w:r>
      <w:hyperlink w:history="1" r:id="rIde0ienb-dj8kerl9_bz7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права и свободы человека и гражданина могут быть ограничены Конституцией и законами в целях защиты национальной безопасности, общественного порядка, охраны здоровья и нравственности населения, зашиты прав и свобод других лиц. Вводимые ограничения должны быть соразмерными указанным целям.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5 вышеназванной </w:t>
      </w:r>
      <w:hyperlink w:history="1" r:id="rIdkbv_1bib4ddz-iiucfn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не подлежат никаким ограничениям установленные Конституцией права и свободы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согласно части 2 </w:t>
      </w:r>
      <w:hyperlink w:history="1" r:id="rIdnszxyupwranlvjvpjk2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в Кыргызской Республике не должны приниматься законы, отменяющие или умаляющие права и свободы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отмечаем, что нормы данного законопроекта не согласовываются с положениями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предлагаем пересмотреть и конкретизировать такие формулировки, как «излишние расходы», «серьезный ущерб», «правильное понимание их сути и значимости», указанные в частях 1 и 2 статьи 1 законопроекта, поскольку подобные формулировки являются, на наш взгляд, расплывчатыми, оценочными, и отсутствуют механизм и критерии их определения.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статье 2 законопроекта действие данного Закона распространяется на государственные органы и органы местного самоуправления, организации, учреждения и предприятия, независимо от ведомственной подчиненности и форм собственности, и в особенности на политических, специальных и административных должностных лиц государственных органов и органов местного самоуправления, а также на всех физических лиц в том числе на иностранных граждан и лиц без гражданства, независимо от их социального положения и национальной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с тем необходимо отметить, что согласно части 1 </w:t>
      </w:r>
      <w:hyperlink w:history="1" r:id="rIdtxn3fdnnt6yjv-wpfoc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Конституции, никто не может подвергаться дискриминации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других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принимая во внимание, что согласно части 2 указанной </w:t>
      </w:r>
      <w:hyperlink w:history="1" r:id="rId0wl1frsyqvutdw84347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в Кыргызской Республике все равны перед законом и судом, предлагаем формулировку «в особенности на политических, специальных и административных должностных лиц государственных органов и органов местного самоуправления», указанную в статье 2 законопроекта,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Частью 1 статьи 5 законопроекта исполнение требований данного Закона возлагается на уполномоченный орган, определяемый Кабинетом Министров Кыргызской Республики. При этом согласно части 2 указанной статьи законопроекта для реализации данного Закона при местных исполнительных органах государственной власти районов, исполнительных органах местного самоуправления создаются местные постоянные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справке-обосновании к законопроекту отмечено, что принятие Закона не повлечет дополнительных финансовых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справке-обосновании к законопроекту не указано, будет ли создаваться новый орган, либо функции по контролю за соблюдением исполнения требований законопроекта будут возлагаться на существующий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этого, считаем необходимым отметить, что практическая реализация предусмотренных в законопроекте норм требует принятия комплекса организационных, технических и финансовых мер, в том числе привлечения дополнительных финансовых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следует учесть, что согласно</w:t>
      </w:r>
      <w:hyperlink w:history="1" r:id="rIdtgg0bumldhxmexqmxxa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6 законопроекта устанавливаются полномочия органов, ответственных за упорядочение проведения свадеб, семейных торжеств, проводов покойного в последний путь и мероприятий, посвященных памяти покойного.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неясно, о каких именно ответственных органах идет речь, поскольку законопроектом указываются полномочия ответственных органов в обобщенном виде, без раз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раничения 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в соответствии с пунктом 24 части 2 </w:t>
      </w:r>
      <w:hyperlink w:history="1" r:id="rId0xgddeb7vwlzckywxt8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Министров, исходя из своих полномочий, утверждает положения, схемы управления и предельную штатную численность министерств, государственных комитетов, иных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закрепление на законодательном уровне каких-либо норм, касающихся деятельности, полномочий и функций органов исполнительной власти, подчиненных Кабинету Министров Кыргызской Республики, противоречит вышеназванным статьям указанного конституционного Закона и приводит к нарушению принципа разделения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согласно </w:t>
      </w:r>
      <w:hyperlink w:history="1" r:id="rIdxma5use17lovrohmak7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государственная власть в Кыргызской Республике основывается на принципах разграничения полномочий и функций государственных органов и органов местного самоуправления, а также в целях недопущения неясностей и спорных ситуаций в правоприменительной практике статью 6 законопроекта предлагаем пересмотреть и доработать.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1 статьи 11 законопроекта содержит бланкетную ссылку на законодательство в целом, что не соответствует </w:t>
      </w:r>
      <w:hyperlink w:history="1" r:id="rIdjecd4yusc-w_kqltw1s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пункту 78</w:t>
        </w:r>
      </w:hyperlink>
      <w:r>
        <w:rPr>
          <w:rFonts w:ascii="Arial" w:cs="Arial" w:eastAsia="Arial" w:hAnsi="Arial"/>
          <w:sz w:val="24"/>
          <w:szCs w:val="24"/>
        </w:rPr>
        <w:t xml:space="preserve"> Инструкции по законодательной технике, утвержденной постановлением Жогорку Кенеша Кыргызской Республики от 26 июня 2015 года № 5389-V, согласно которому бланкетные ссылки на законодательство в целом не допускаются. В этой связи статью 6 проекта Закона необходимо привести в соответствие с </w:t>
      </w:r>
      <w:hyperlink w:history="1" r:id="rIde9jkh0r65l9nerzwzti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78</w:t>
        </w:r>
      </w:hyperlink>
      <w:r>
        <w:rPr>
          <w:rFonts w:ascii="Arial" w:cs="Arial" w:eastAsia="Arial" w:hAnsi="Arial"/>
          <w:sz w:val="24"/>
          <w:szCs w:val="24"/>
        </w:rPr>
        <w:t xml:space="preserve"> указанной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Частью 2 статьи 11 законопроекта предусматривается ответственность в виде освобождения от занимаемой должности за нарушение требований указанного Закона политическими, специальными и административными должностными лицами государственных органов и органов местного самоуправления, и их детьми.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отмечаем, что порядок и основания освобождения от занимаемой должности лиц, занимающих политические, специальные и административные должности в государственных органах и органах местного самоуправления, регламентированы различными нормативными правовыми актами (</w:t>
      </w:r>
      <w:hyperlink w:history="1" r:id="rIdqgijs6vbujmiplvlcjv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p269xclzpadhplksi1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Трудовой кодекс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5dgb4kds8xlnjqiev8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Республики», законы Кыргызской Республики </w:t>
      </w:r>
      <w:hyperlink w:history="1" r:id="rIdidzdo-wp0mkq0rxfaws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государственной гражданской службе и муниципальной службе»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p1v2vubtfgavz4bhlc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местном самоуправлении»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порядок и основания увольнения военнослужащих с военной службы регулируются </w:t>
      </w:r>
      <w:hyperlink w:history="1" r:id="rIdklix5quosh8ic6r4jkm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всеобщей воинской обязанности граждан Кыргызской Республики, о военной и альтернативной службах». Следовательно, увольнение военнослужащих по причинам, не связанным с военной службой, нарушит законные права и интересы военнослужащих, которые закреплены в законодательстве Кыргызской Республики в сфере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определение ответственности в виде освобождения от занимаемой должности за действия членов семьи (детей) в законопроекте противоречит нормам Конституции, трудового законодательства Кыргызской Республики и законодательства о государственной гражданской службе и муниципальной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3ep0gzjtgmdhzugymab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нарушениях каждое лицо, совершившее нарушение, подлежит ответственности в соответствии с данным Кодексом. Согласно </w:t>
      </w:r>
      <w:hyperlink w:history="1" r:id="rIdl_s9j65aqmn1tzdki3e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проступках, уголовной ответственности и наказанию за проступок подлежит только лицо, которое умышленно или по неосторожности совершило деяние, то есть ответственность носит личный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часть 2 статьи 11 законопроекта следует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Частью 2 статьи 12 законопроекта Кабинету Министров Кыргызской Республики поручается в течение 3 месяцев со дня вступления в силу данного Закона привести свои нормативные правовые акты в соответствие с обозначенным Законом и принять нормативные правовые акты для его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отмечаем, что согласно </w:t>
      </w:r>
      <w:hyperlink w:history="1" r:id="rIdwnnkujprgpugdfhz9u5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информация о нормативных правовых актах, подлежащих пересмотру в случае принятия рассматриваемого законопроекта, не отражена в справке-обосновании к законопроекту.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необходимо отметить, что вышеуказанный законопроект требует тщательной доработки в соответствии с требованиями </w:t>
      </w:r>
      <w:hyperlink w:history="1" r:id="rIdjwbrfemyji7h4sudq_e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и Инструкцией по законодательной технике, утвержденной постановлением Жогорку Кенеша Кыргызской Республики от </w:t>
      </w:r>
      <w:hyperlink w:history="1" r:id="rIdq7_acf4tiscybympp2a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2015 года № 5389-V.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Закона Кыргызской Республики «О внесении изменений в Кодекс Кыргызской Республики о нарушениях» (далее - законопроект).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 законопроекта предлагается внести изменения в Кодекс Кыргызской Республики о нарушениях, установив соответствующую
 ответственность за нарушение требований законодательства об упорядочении проведения свадеб, семейных торжеств, проводов покойного в последний путь и мероприятий, посвященных памяти покойного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обращаем внимание, что согласно части 1 </w:t>
      </w:r>
      <w:hyperlink w:history="1" r:id="rIdjidizjssy_kewzuruiz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права и свободы человека неотчуждаемы и принадлежат каждому от рождения. Права и свободы человека относятся к высшим ценностям Кыргызской Республики. Они действуют непосредственно, определяют смысл и содержание деятельности всех государственных органов, органов местного самоуправления и их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 частью 5 </w:t>
      </w:r>
      <w:hyperlink w:history="1" r:id="rIdg-awc6zemibzefa0lz4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не подлежат никаким ограничениям установленные Конституцией права и свободы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соответствии с частью 2 </w:t>
      </w:r>
      <w:hyperlink w:history="1" r:id="rId-xxtuax8hafykzzrpbv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права и свободы человека и гражданина могут быть ограничены Конституцией и законами в целях защиты национальной безопасности, общественного порядка, охраны здоровья и нравственности населения, защиты прав и свобод других лиц. Вводимые ограничения должны быть соразмерными указанным целям.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отмечаем, что установление ответственности за нарушение требований законодательства об упорядочении проведения свадеб, семейных торжеств, проводов покойного в последний путь и мероприятий, посвященных памяти покойного в Кыргызской Республике, не согласовывается с положениями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информации сообщаем, что Генеральным прокурором Кыргызской Республики был инициирован проект Закона Кыргызской Республики «О введении в действие Уголовного кодекса Кыргызской Республики, Уголовно- процессуального кодекса Кыргызской Республики, Кодекса Кыргызской Республики о правонарушениях против порядка управления и внесении изменений
 в некоторые законодательные акты Кыргызской Республики», согласно которому со дня введения в действие Кодекса Кыргызской Республики о правонарушениях против порядка управления предлагается признать утратившим силу Кодекс Кыргызской Республики о нарушениях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rol2j8gtido1xs9cznr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2017 года № 58.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указанный проект Закона принят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представленный законопроект предлагаем рассмотреть на предмет его актуальности.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нецелесообразным принятие проектов законов Кыргызской Республики «Об упорядочении проведения свадеб, семейных торжеств, проводов покойного в последний путь и мероприятий, посвященных памяти покойного в Кыргызской Республике» и «О внесении изменений в Кодекс Кыргызской Республики о нарушениях».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e2ulhitufhmsjdqxk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dalil.kg/document/218717</w:t>
      </w:r>
    </w:hyperlink>
  </w:p>
  <w:p>
    <w:pPr>
      <w:spacing w:after="0" w:before="40"/>
      <w:jc w:val="center"/>
    </w:pPr>
    <w:hyperlink w:history="1" r:id="rId3zcp3n_hnwebz2uwxjy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6vu7lpdroba7wkd6yo2" Type="http://schemas.openxmlformats.org/officeDocument/2006/relationships/hyperlink" Target="https://dalil.kg/document/112301#st_27" TargetMode="External"/><Relationship Id="rIdtileygnvx5ocxwcczwdw9" Type="http://schemas.openxmlformats.org/officeDocument/2006/relationships/hyperlink" Target="https://dalil.kg/document/112301#st_27" TargetMode="External"/><Relationship Id="rIdwloes32jhkchpsy3vk6bj" Type="http://schemas.openxmlformats.org/officeDocument/2006/relationships/hyperlink" Target="https://dalil.kg/document/112213" TargetMode="External"/><Relationship Id="rIde0ienb-dj8kerl9_bz7sl" Type="http://schemas.openxmlformats.org/officeDocument/2006/relationships/hyperlink" Target="https://dalil.kg/document/112213" TargetMode="External"/><Relationship Id="rIdkbv_1bib4ddz-iiucfnmy" Type="http://schemas.openxmlformats.org/officeDocument/2006/relationships/hyperlink" Target="https://dalil.kg/document/112213" TargetMode="External"/><Relationship Id="rIdnszxyupwranlvjvpjk2aj" Type="http://schemas.openxmlformats.org/officeDocument/2006/relationships/hyperlink" Target="https://dalil.kg/document/112213" TargetMode="External"/><Relationship Id="rIdtxn3fdnnt6yjv-wpfocjl" Type="http://schemas.openxmlformats.org/officeDocument/2006/relationships/hyperlink" Target="https://dalil.kg/document/112213" TargetMode="External"/><Relationship Id="rId0wl1frsyqvutdw84347zu" Type="http://schemas.openxmlformats.org/officeDocument/2006/relationships/hyperlink" Target="https://dalil.kg/document/112213" TargetMode="External"/><Relationship Id="rIdtgg0bumldhxmexqmxxa_5" Type="http://schemas.openxmlformats.org/officeDocument/2006/relationships/hyperlink" Target="https://dalil.kg/document/202591" TargetMode="External"/><Relationship Id="rId0xgddeb7vwlzckywxt819" Type="http://schemas.openxmlformats.org/officeDocument/2006/relationships/hyperlink" Target="https://dalil.kg/document/112301" TargetMode="External"/><Relationship Id="rIdxma5use17lovrohmak7_8" Type="http://schemas.openxmlformats.org/officeDocument/2006/relationships/hyperlink" Target="https://dalil.kg/document/112213" TargetMode="External"/><Relationship Id="rIdjecd4yusc-w_kqltw1sr0" Type="http://schemas.openxmlformats.org/officeDocument/2006/relationships/hyperlink" Target="https://dalil.kg/document/76491" TargetMode="External"/><Relationship Id="rIde9jkh0r65l9nerzwztilv" Type="http://schemas.openxmlformats.org/officeDocument/2006/relationships/hyperlink" Target="https://dalil.kg/document/76491" TargetMode="External"/><Relationship Id="rIdqgijs6vbujmiplvlcjvvw" Type="http://schemas.openxmlformats.org/officeDocument/2006/relationships/hyperlink" Target="https://dalil.kg/document/112213" TargetMode="External"/><Relationship Id="rIdzp269xclzpadhplksi1-b" Type="http://schemas.openxmlformats.org/officeDocument/2006/relationships/hyperlink" Target="https://dalil.kg/document/1505" TargetMode="External"/><Relationship Id="rIdz5dgb4kds8xlnjqiev884" Type="http://schemas.openxmlformats.org/officeDocument/2006/relationships/hyperlink" Target="https://dalil.kg/document/202352" TargetMode="External"/><Relationship Id="rIdidzdo-wp0mkq0rxfawsaf" Type="http://schemas.openxmlformats.org/officeDocument/2006/relationships/hyperlink" Target="https://dalil.kg/document/112303" TargetMode="External"/><Relationship Id="rIdsp1v2vubtfgavz4bhlclf" Type="http://schemas.openxmlformats.org/officeDocument/2006/relationships/hyperlink" Target="https://dalil.kg/document/112302" TargetMode="External"/><Relationship Id="rIdklix5quosh8ic6r4jkm4p" Type="http://schemas.openxmlformats.org/officeDocument/2006/relationships/hyperlink" Target="https://dalil.kg/document/202536" TargetMode="External"/><Relationship Id="rId3ep0gzjtgmdhzugymabca" Type="http://schemas.openxmlformats.org/officeDocument/2006/relationships/hyperlink" Target="https://dalil.kg/document/111565" TargetMode="External"/><Relationship Id="rIdl_s9j65aqmn1tzdki3eqo" Type="http://schemas.openxmlformats.org/officeDocument/2006/relationships/hyperlink" Target="https://dalil.kg/document/111529" TargetMode="External"/><Relationship Id="rIdwnnkujprgpugdfhz9u5ra" Type="http://schemas.openxmlformats.org/officeDocument/2006/relationships/hyperlink" Target="https://dalil.kg/document/202591" TargetMode="External"/><Relationship Id="rIdjwbrfemyji7h4sudq_e3x" Type="http://schemas.openxmlformats.org/officeDocument/2006/relationships/hyperlink" Target="https://dalil.kg/document/202591" TargetMode="External"/><Relationship Id="rIdq7_acf4tiscybympp2aph" Type="http://schemas.openxmlformats.org/officeDocument/2006/relationships/hyperlink" Target="https://dalil.kg/document/76490" TargetMode="External"/><Relationship Id="rIdjidizjssy_kewzuruizbf" Type="http://schemas.openxmlformats.org/officeDocument/2006/relationships/hyperlink" Target="https://dalil.kg/document/112213" TargetMode="External"/><Relationship Id="rIdg-awc6zemibzefa0lz4mi" Type="http://schemas.openxmlformats.org/officeDocument/2006/relationships/hyperlink" Target="https://dalil.kg/document/112213" TargetMode="External"/><Relationship Id="rId-xxtuax8hafykzzrpbvee" Type="http://schemas.openxmlformats.org/officeDocument/2006/relationships/hyperlink" Target="https://dalil.kg/document/112213" TargetMode="External"/><Relationship Id="rIdrol2j8gtido1xs9cznrks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e2ulhitufhmsjdqxky_" Type="http://schemas.openxmlformats.org/officeDocument/2006/relationships/hyperlink" Target="https://dalil.kg/document/218717" TargetMode="External"/><Relationship Id="rId3zcp3n_hnwebz2uwxjy7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2026-09-29T11:05:08.943Z</dcterms:created>
  <dcterms:modified xsi:type="dcterms:W3CDTF">2026-09-29T11:05:08.943Z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