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РАСПОРЯЖЕНИЕ </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27 декабря</w:t>
      </w:r>
      <w:r>
        <w:rPr>
          <w:rFonts w:ascii="Arial" w:cs="Arial" w:eastAsia="Arial" w:hAnsi="Arial"/>
          <w:sz w:val="24"/>
          <w:szCs w:val="24"/>
        </w:rPr>
        <w:t xml:space="preserve"> 2021 года № </w:t>
      </w:r>
      <w:r>
        <w:rPr>
          <w:rFonts w:ascii="Arial" w:cs="Arial" w:eastAsia="Arial" w:hAnsi="Arial"/>
          <w:sz w:val="24"/>
          <w:szCs w:val="24"/>
        </w:rPr>
        <w:t xml:space="preserve">342-р</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проект Кредитного соглашения между Кыргызской Республикой и Азиатским банком развития («Поддержка вакцинации против ('OVID-19 в рамках механизма доступа к вакцинам в Азиатско-Тихоокеанском регионе»);</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 Грантового соглашения между Кыргызской Республикой и Азиатским банком развития («Поддержка вакцинации против COVID-I9 в рамках механизма доступа к вакцинам в Азиатско-Тихоокеанском регионе»).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Уполномочии,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У</w:t>
      </w:r>
      <w:r>
        <w:rPr>
          <w:rFonts w:ascii="Arial" w:cs="Arial" w:eastAsia="Arial" w:hAnsi="Arial"/>
          <w:b/>
          <w:bCs/>
          <w:sz w:val="24"/>
          <w:szCs w:val="24"/>
        </w:rPr>
        <w:t xml:space="preserve">. </w:t>
      </w:r>
      <w:r>
        <w:rPr>
          <w:rFonts w:ascii="Arial" w:cs="Arial" w:eastAsia="Arial" w:hAnsi="Arial"/>
          <w:b/>
          <w:bCs/>
          <w:sz w:val="24"/>
          <w:szCs w:val="24"/>
        </w:rPr>
        <w:t xml:space="preserve">Жапаров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СОГЛАСОВАННЫЙ ВАРИАНТ</w:t>
      </w:r>
    </w:p>
    <w:p>
      <w:pPr>
        <w:spacing w:after="120"/>
        <w:jc w:val="right"/>
      </w:pPr>
      <w:r>
        <w:rPr>
          <w:rFonts w:ascii="Arial" w:cs="Arial" w:eastAsia="Arial" w:hAnsi="Arial"/>
          <w:sz w:val="24"/>
          <w:szCs w:val="24"/>
        </w:rPr>
        <w:t xml:space="preserve">НОМЕР КРЕДИТА -KGZ(COL)</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КРЕДИТНОЕ СОГЛАШЕНИЕ</w:t>
      </w:r>
    </w:p>
    <w:p>
      <w:pPr>
        <w:spacing w:after="120"/>
        <w:jc w:val="center"/>
      </w:pPr>
      <w:r>
        <w:rPr>
          <w:rFonts w:ascii="Arial" w:cs="Arial" w:eastAsia="Arial" w:hAnsi="Arial"/>
          <w:sz w:val="24"/>
          <w:szCs w:val="24"/>
        </w:rPr>
        <w:t xml:space="preserve">(Обычные операции [Льготный]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КРЕДИТНОЕ СОГЛАШЕНИЕ (Обычные операции ^Льготный])</w:t>
      </w:r>
    </w:p>
    <w:p>
      <w:pPr>
        <w:spacing w:after="120"/>
        <w:jc w:val="center"/>
      </w:pPr>
      <w:r>
        <w:rPr>
          <w:rFonts w:ascii="Arial" w:cs="Arial" w:eastAsia="Arial" w:hAnsi="Arial"/>
          <w:sz w:val="24"/>
          <w:szCs w:val="24"/>
        </w:rPr>
        <w:t xml:space="preserve">(Проект поддержки вакцинации против COVID-19 в рамках механизма доступа к вакцинам</w:t>
      </w:r>
    </w:p>
    <w:p>
      <w:pPr>
        <w:spacing w:after="120"/>
        <w:jc w:val="center"/>
      </w:pPr>
      <w:r>
        <w:rPr>
          <w:rFonts w:ascii="Arial" w:cs="Arial" w:eastAsia="Arial" w:hAnsi="Arial"/>
          <w:sz w:val="24"/>
          <w:szCs w:val="24"/>
        </w:rPr>
        <w:t xml:space="preserve">в Азиатско-Тихоокеанском регионе)</w:t>
      </w:r>
    </w:p>
    <w:p>
      <w:pPr>
        <w:spacing w:after="120"/>
        <w:jc w:val="center"/>
      </w:pPr>
      <w:r>
        <w:rPr>
          <w:rFonts w:ascii="Arial" w:cs="Arial" w:eastAsia="Arial" w:hAnsi="Arial"/>
          <w:sz w:val="24"/>
          <w:szCs w:val="24"/>
        </w:rPr>
        <w:t xml:space="preserve">между</w:t>
      </w:r>
    </w:p>
    <w:p>
      <w:pPr>
        <w:spacing w:after="120"/>
        <w:jc w:val="center"/>
      </w:pPr>
      <w:r>
        <w:rPr>
          <w:rFonts w:ascii="Arial" w:cs="Arial" w:eastAsia="Arial" w:hAnsi="Arial"/>
          <w:sz w:val="24"/>
          <w:szCs w:val="24"/>
        </w:rPr>
        <w:t xml:space="preserve">КЫРГЫЗСКОЙ РЕСПУБЛИКОЙ</w:t>
      </w:r>
    </w:p>
    <w:p>
      <w:pPr>
        <w:spacing w:after="120"/>
        <w:jc w:val="center"/>
      </w:pPr>
      <w:r>
        <w:rPr>
          <w:rFonts w:ascii="Arial" w:cs="Arial" w:eastAsia="Arial" w:hAnsi="Arial"/>
          <w:sz w:val="24"/>
          <w:szCs w:val="24"/>
        </w:rPr>
        <w:t xml:space="preserve">И</w:t>
      </w:r>
    </w:p>
    <w:p>
      <w:pPr>
        <w:spacing w:after="120"/>
        <w:jc w:val="center"/>
      </w:pPr>
      <w:r>
        <w:rPr>
          <w:rFonts w:ascii="Arial" w:cs="Arial" w:eastAsia="Arial" w:hAnsi="Arial"/>
          <w:sz w:val="24"/>
          <w:szCs w:val="24"/>
        </w:rPr>
        <w:t xml:space="preserve">АЗИАТСКИМ БАНКОМ РАЗВИТИЯ</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Датировано                                                                                                                                                            2021 г.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КРЕДИТНОЕ   СОГЛАШЕНИЕ</w:t>
      </w:r>
    </w:p>
    <w:p>
      <w:pPr>
        <w:spacing w:after="120"/>
        <w:jc w:val="center"/>
      </w:pPr>
      <w:r>
        <w:rPr>
          <w:rFonts w:ascii="Arial" w:cs="Arial" w:eastAsia="Arial" w:hAnsi="Arial"/>
          <w:b/>
          <w:bCs/>
          <w:sz w:val="24"/>
          <w:szCs w:val="24"/>
        </w:rPr>
        <w:t xml:space="preserve">(Обычные операции </w:t>
      </w:r>
      <w:r>
        <w:rPr>
          <w:rFonts w:ascii="Arial" w:cs="Arial" w:eastAsia="Arial" w:hAnsi="Arial"/>
          <w:b/>
          <w:bCs/>
          <w:sz w:val="24"/>
          <w:szCs w:val="24"/>
        </w:rPr>
        <w:t xml:space="preserve">[</w:t>
      </w:r>
      <w:r>
        <w:rPr>
          <w:rFonts w:ascii="Arial" w:cs="Arial" w:eastAsia="Arial" w:hAnsi="Arial"/>
          <w:b/>
          <w:bCs/>
          <w:sz w:val="24"/>
          <w:szCs w:val="24"/>
        </w:rPr>
        <w:t xml:space="preserve">Льготный</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Кредитное соглашение от _______________________2021 г. между Кыргызской Республикой («Заемщик») и Азиатским Банком Развития (“АБР”).</w:t>
      </w:r>
    </w:p>
    <w:p>
      <w:pPr>
        <w:spacing w:after="120"/>
        <w:jc w:val="both"/>
      </w:pPr>
      <w:r>
        <w:rPr>
          <w:rFonts w:ascii="Arial" w:cs="Arial" w:eastAsia="Arial" w:hAnsi="Arial"/>
          <w:sz w:val="24"/>
          <w:szCs w:val="24"/>
        </w:rPr>
        <w:t xml:space="preserve">ПОСКОЛЬКУ</w:t>
      </w:r>
    </w:p>
    <w:p>
      <w:pPr>
        <w:spacing w:after="120"/>
        <w:jc w:val="both"/>
      </w:pPr>
      <w:r>
        <w:rPr>
          <w:rFonts w:ascii="Arial" w:cs="Arial" w:eastAsia="Arial" w:hAnsi="Arial"/>
          <w:sz w:val="24"/>
          <w:szCs w:val="24"/>
        </w:rPr>
        <w:t xml:space="preserve">(A) АБР получил от Заемщика письмо управляющего, датированное («Письмо управляющего»),  в котором подтверждается обязательство Заемщика выполнить свой План по распределению вакцинации (как определено в настоящим) и излагаются определенные цели, политика и действия Заемщика, направленные на обеспечение доступа на его территории доступа к вакцинам от коронавирусной инфекции («COVID-19»);</w:t>
      </w:r>
    </w:p>
    <w:p>
      <w:pPr>
        <w:spacing w:after="120"/>
        <w:jc w:val="both"/>
      </w:pPr>
      <w:r>
        <w:rPr>
          <w:rFonts w:ascii="Arial" w:cs="Arial" w:eastAsia="Arial" w:hAnsi="Arial"/>
          <w:sz w:val="24"/>
          <w:szCs w:val="24"/>
        </w:rPr>
        <w:t xml:space="preserve">(В) Заемщик подал заявку в АБР на получение кредита для целей Проекта, описанного в Приложении 1 к данному Кредитному соглашению;</w:t>
      </w:r>
    </w:p>
    <w:p>
      <w:pPr>
        <w:spacing w:after="120"/>
        <w:jc w:val="both"/>
      </w:pPr>
      <w:r>
        <w:rPr>
          <w:rFonts w:ascii="Arial" w:cs="Arial" w:eastAsia="Arial" w:hAnsi="Arial"/>
          <w:sz w:val="24"/>
          <w:szCs w:val="24"/>
        </w:rPr>
        <w:t xml:space="preserve">(С) в рамках Соглашения о предоставлении гранта, датированного тем же числом, между Заемщиком и АБР («Соглашение о предоставлении гранта») АБР согласился предоставить Заемщику грант из специальных средств АБР в сумме двенадцати миллионов пятисот тысяч долларов (12 500 000 долларов США) («Грант») для целей Проекта; [Перевод этого пункта на русский язык подлежит исправлению]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АБР согласился предоставить Заемщику льготный кредит из обычных капитальных ресурсов АБР на срок и на условиях, изложенных в настоящем документе;</w:t>
      </w:r>
    </w:p>
    <w:p>
      <w:pPr>
        <w:spacing w:after="120"/>
        <w:jc w:val="both"/>
      </w:pPr>
      <w:r>
        <w:rPr>
          <w:rFonts w:ascii="Arial" w:cs="Arial" w:eastAsia="Arial" w:hAnsi="Arial"/>
          <w:sz w:val="24"/>
          <w:szCs w:val="24"/>
        </w:rPr>
        <w:t xml:space="preserve">ТАКИМ ОБРАЗОМ В НАСТОЯЩЕЕ ВРЕМЯ стороны договариваются о следующем:</w:t>
      </w:r>
    </w:p>
    <w:p>
      <w:pPr>
        <w:spacing w:after="240" w:before="200"/>
        <w:jc w:val="center"/>
      </w:pPr>
      <w:r>
        <w:rPr>
          <w:rFonts w:ascii="Arial" w:cs="Arial" w:eastAsia="Arial" w:hAnsi="Arial"/>
          <w:b/>
          <w:bCs/>
          <w:sz w:val="32"/>
          <w:szCs w:val="32"/>
        </w:rPr>
        <w:t xml:space="preserve">СТАТЬЯ I</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предоставлении кредита; Определения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1.01. Все пункты Положения о кредитовании обычных операций (льготных) АБР от 1 января 2017 года («Положение о кредитовании») настоящим применяются к данному Кредитному соглашению с такой же силой и действием, как если бы они были полностью изложены в настоящем документе:</w:t>
      </w:r>
    </w:p>
    <w:p>
      <w:pPr>
        <w:spacing w:after="120"/>
        <w:jc w:val="both"/>
      </w:pPr>
      <w:r>
        <w:rPr>
          <w:rFonts w:ascii="Arial" w:cs="Arial" w:eastAsia="Arial" w:hAnsi="Arial"/>
          <w:sz w:val="24"/>
          <w:szCs w:val="24"/>
        </w:rPr>
        <w:t xml:space="preserve">Раздел 1.02. Везде, где в рамках настоящего Кредитного соглашения используются некоторые термины, определенные в Положении о предоставлении кредитов, они имеют соответствующие значения, изложенные в них, если только они не были изменены в настоящем документе или не требует иного в его контексте Дополнительные термины, используемые в настоящем Кредитном соглашении, имеют следующие значения: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Консультационные услуги» означают консультационные услуги, описанные в Положении о закупках и изложенные в Плане закупок, и финансируемые за счет средств кредита и/или гранта;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«COVID-19» имеет значение, придаваемое такому термину в Декларативной части документа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«ДЛСиМИ» означает Департамент лекарственных средств и медицинских изделий Министерства здравоохранения, являющийся национальным органом регулирования фармацевтической деятельности Заемщика или его правопреемником;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«Критерий правомочности» означает критерий, описанный в пункте 29 (включая сноски 28, 29 и 30) политики АБР по поддержке расширения доступа к вакцинам против COVID-19;</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e</w:t>
      </w:r>
      <w:r>
        <w:rPr>
          <w:rFonts w:ascii="Arial" w:cs="Arial" w:eastAsia="Arial" w:hAnsi="Arial"/>
          <w:sz w:val="24"/>
          <w:szCs w:val="24"/>
        </w:rPr>
        <w:t xml:space="preserve">) «Правомочные расходы» означают категории расходов, согласованных между АБР и Заемщиком, которые будут финансироваться за счет средств кредита и/ или гранта, как указано в таблице к Приложению 3 к настоящему Кредитному соглашению, таблице к Приложению к Соглашению о гранте и те, которые более подробно описаны в РУП;</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f</w:t>
      </w:r>
      <w:r>
        <w:rPr>
          <w:rFonts w:ascii="Arial" w:cs="Arial" w:eastAsia="Arial" w:hAnsi="Arial"/>
          <w:sz w:val="24"/>
          <w:szCs w:val="24"/>
        </w:rPr>
        <w:t xml:space="preserve">) «Правомочная вакцина» означает вакцину против COVID-19. имеющую право на финансирование и/или транспортировку, финансируемую за счет средств кредита и/или гранта, которая в любое время в течение периода реализации Проекта (i) удовлетворяет критериям правомочности и (ii) получила все необходимые разрешения Заемщика, для ее распространения и администрирования на территории Заемщика, включая разрешение на использование и любые другие необходимые разрешения для ее производства, сбыта или импорта;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g</w:t>
      </w:r>
      <w:r>
        <w:rPr>
          <w:rFonts w:ascii="Arial" w:cs="Arial" w:eastAsia="Arial" w:hAnsi="Arial"/>
          <w:sz w:val="24"/>
          <w:szCs w:val="24"/>
        </w:rPr>
        <w:t xml:space="preserve">) «ГПД» означает тендерный план действий, подготовленный для Проекта, включая любое его обновление, содержащий тендерные меры, которые должны быть приняты в ходе реализации Проекта и должны быть согласованы между Заемщиком через Исполнительное агентство Проекта и АБР;</w:t>
      </w:r>
    </w:p>
    <w:p>
      <w:pPr>
        <w:spacing w:after="120"/>
        <w:jc w:val="both"/>
      </w:pPr>
      <w:r>
        <w:rPr>
          <w:rFonts w:ascii="Arial" w:cs="Arial" w:eastAsia="Arial" w:hAnsi="Arial"/>
          <w:sz w:val="24"/>
          <w:szCs w:val="24"/>
        </w:rPr>
        <w:t xml:space="preserve">(h)             «Товары» означают оборудование и материалы, указанные в Плане закупок и подлежащие финансированию за счет поступлений от кредита и/ иги гранта, включая правомочные вакцины и любые соответствующие неконсультационные услуги, такие как транспортировка и страхование;</w:t>
      </w:r>
    </w:p>
    <w:p>
      <w:pPr>
        <w:spacing w:after="120"/>
        <w:jc w:val="both"/>
      </w:pPr>
      <w:r>
        <w:rPr>
          <w:rFonts w:ascii="Arial" w:cs="Arial" w:eastAsia="Arial" w:hAnsi="Arial"/>
          <w:sz w:val="24"/>
          <w:szCs w:val="24"/>
        </w:rPr>
        <w:t xml:space="preserve">(i)  «Письмо управляющего» имеет значение, придаваемое такому термину в Декларативной части документа (А) данного Кредитного соглашения;</w:t>
      </w:r>
    </w:p>
    <w:p>
      <w:pPr>
        <w:spacing w:after="120"/>
        <w:jc w:val="both"/>
      </w:pPr>
      <w:r>
        <w:rPr>
          <w:rFonts w:ascii="Arial" w:cs="Arial" w:eastAsia="Arial" w:hAnsi="Arial"/>
          <w:sz w:val="24"/>
          <w:szCs w:val="24"/>
        </w:rPr>
        <w:t xml:space="preserve">(j) «Грант» имеет значение, придаваемое такому термину в Декларативной части документа (С) настоящего Кредитного соглашения;</w:t>
      </w:r>
    </w:p>
    <w:p>
      <w:pPr>
        <w:spacing w:after="120"/>
        <w:jc w:val="both"/>
      </w:pPr>
      <w:r>
        <w:rPr>
          <w:rFonts w:ascii="Arial" w:cs="Arial" w:eastAsia="Arial" w:hAnsi="Arial"/>
          <w:sz w:val="24"/>
          <w:szCs w:val="24"/>
        </w:rPr>
        <w:t xml:space="preserve">(к) «Соглашение о предоставлении гранта» имеет значение, придаваемое такому термину в Декларативной части документа (С) настоящего Кредитного соглашения;</w:t>
      </w:r>
    </w:p>
    <w:p>
      <w:pPr>
        <w:spacing w:after="120"/>
        <w:jc w:val="both"/>
      </w:pPr>
      <w:r>
        <w:rPr>
          <w:rFonts w:ascii="Arial" w:cs="Arial" w:eastAsia="Arial" w:hAnsi="Arial"/>
          <w:sz w:val="24"/>
          <w:szCs w:val="24"/>
        </w:rPr>
        <w:t xml:space="preserve">(I) «Руководство по выплате кредитов» означает Руководство АБР по выплате кредитов (2017 год, с вносимыми время от времени поправками);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 «МЗСР» означает Министерство здравоохранения и социального развития Заемщика или любого его правопреемника,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«ПОМО» означает План обращения с медицинскими отходами Заемщика, который изложен в Постановлении Правительства Кыргызской Республики № 719 «Об обращении с медицинскими отходами и обращении с ртутьсодержащей продукцией в организациях здравоохранения Кыргызской Республики», о порядке обращения с медицинскими отходами в рамках специфичных процедур и требований к обращению с медицинскими отходами;</w:t>
      </w:r>
    </w:p>
    <w:p>
      <w:pPr>
        <w:spacing w:after="120"/>
        <w:jc w:val="both"/>
      </w:pPr>
      <w:r>
        <w:rPr>
          <w:rFonts w:ascii="Arial" w:cs="Arial" w:eastAsia="Arial" w:hAnsi="Arial"/>
          <w:sz w:val="24"/>
          <w:szCs w:val="24"/>
        </w:rPr>
        <w:t xml:space="preserve">(о) «Неконсультационные услуги» означают неконсультационные услуги, описанные в Положениях о закупках и изложенные в Плане закупок, и финансируемые за счет средств кредита и/или гранта;</w:t>
      </w:r>
    </w:p>
    <w:p>
      <w:pPr>
        <w:spacing w:after="120"/>
        <w:jc w:val="both"/>
      </w:pPr>
      <w:r>
        <w:rPr>
          <w:rFonts w:ascii="Arial" w:cs="Arial" w:eastAsia="Arial" w:hAnsi="Arial"/>
          <w:sz w:val="24"/>
          <w:szCs w:val="24"/>
        </w:rPr>
        <w:t xml:space="preserve">(р) «РУП» означает Руководство по управлению проектом, датированное 15 сентября 2021 года и согласованное между Заемщиком и АБР, которое время от времени обновляется в рамках соответствующих административных процедур Заемщика и АБР;</w:t>
      </w:r>
    </w:p>
    <w:p>
      <w:pPr>
        <w:spacing w:after="120"/>
        <w:jc w:val="both"/>
      </w:pPr>
      <w:r>
        <w:rPr>
          <w:rFonts w:ascii="Arial" w:cs="Arial" w:eastAsia="Arial" w:hAnsi="Arial"/>
          <w:sz w:val="24"/>
          <w:szCs w:val="24"/>
        </w:rPr>
        <w:t xml:space="preserve">(q) «План закупок» означает план закупок для Проекта, датированный 15 сентября 2021 года и согласованный между Заемщиком и АБР, который время от времени обновляется в соответствии с Политикой закупок, Положением о закупках и другими договоренностями, согласованными с АБР;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 «Политика по закупкам» означает Политику АБР в области закупок товаров, работ, услуг, неконсультационных и консультационных услуг (2017. с вносимыми время от времени поправками);</w:t>
      </w:r>
    </w:p>
    <w:p>
      <w:pPr>
        <w:spacing w:after="120"/>
        <w:jc w:val="both"/>
      </w:pPr>
      <w:r>
        <w:rPr>
          <w:rFonts w:ascii="Arial" w:cs="Arial" w:eastAsia="Arial" w:hAnsi="Arial"/>
          <w:sz w:val="24"/>
          <w:szCs w:val="24"/>
        </w:rPr>
        <w:t xml:space="preserve">(s) «Положения о закупках» означают Положения АБР для Заемщиков АБР по закупкам товаров, работ, неконсультационных и консультационных услуг (2017, с вносимыми время от времени поправками);</w:t>
      </w:r>
    </w:p>
    <w:p>
      <w:pPr>
        <w:spacing w:after="120"/>
        <w:jc w:val="both"/>
      </w:pPr>
      <w:r>
        <w:rPr>
          <w:rFonts w:ascii="Arial" w:cs="Arial" w:eastAsia="Arial" w:hAnsi="Arial"/>
          <w:sz w:val="24"/>
          <w:szCs w:val="24"/>
        </w:rPr>
        <w:t xml:space="preserve">(t) «Исполнительное агентство проекта» для целей и по смыслу Положений о кредите означает МЗСР или любого его преемника, правомочного для АБР, который несет ответственность за осуществление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u</w:t>
      </w:r>
      <w:r>
        <w:rPr>
          <w:rFonts w:ascii="Arial" w:cs="Arial" w:eastAsia="Arial" w:hAnsi="Arial"/>
          <w:sz w:val="24"/>
          <w:szCs w:val="24"/>
        </w:rPr>
        <w:t xml:space="preserve">) «Услуги» означают консультационные услуги и неконсультационные услуги;</w:t>
      </w:r>
    </w:p>
    <w:p>
      <w:pPr>
        <w:spacing w:after="120"/>
        <w:jc w:val="both"/>
      </w:pPr>
      <w:r>
        <w:rPr>
          <w:rFonts w:ascii="Arial" w:cs="Arial" w:eastAsia="Arial" w:hAnsi="Arial"/>
          <w:sz w:val="24"/>
          <w:szCs w:val="24"/>
        </w:rPr>
        <w:t xml:space="preserve">(v)      «ПЗМ» означает Политику защитных мер АБР (2009);</w:t>
      </w:r>
    </w:p>
    <w:p>
      <w:pPr>
        <w:spacing w:after="120"/>
        <w:jc w:val="both"/>
      </w:pPr>
      <w:r>
        <w:rPr>
          <w:rFonts w:ascii="Arial" w:cs="Arial" w:eastAsia="Arial" w:hAnsi="Arial"/>
          <w:sz w:val="24"/>
          <w:szCs w:val="24"/>
        </w:rPr>
        <w:t xml:space="preserve">(w) «План распределения вакцинации» означает Национальный план вакцинации и развертывания вакцин против COVID-19, разработанный МЗСР и принятый Заемщиком на 25 августа 2021 года (может время от времени изменяться или дополняться), который приложен и одобрен в Письме управляющего, в котором, среди прочего, описывается определение Заемщиком приоритетов доступа к вакцинам против COVID-19 в соответствии с международными нормами и гарантиями того, что маргинализированные и уязвимые группы не будут исключены, и в котором излагается национальная политика в отношении выбора вакцин, их приобретения, закупки, распространения, развертывания и администрирования, а также любого соответствующего обращения с медицинскими отходами на территории Заемщика.</w:t>
      </w:r>
    </w:p>
    <w:p>
      <w:pPr>
        <w:spacing w:after="240" w:before="200"/>
        <w:jc w:val="center"/>
      </w:pPr>
      <w:r>
        <w:rPr>
          <w:rFonts w:ascii="Arial" w:cs="Arial" w:eastAsia="Arial" w:hAnsi="Arial"/>
          <w:b/>
          <w:bCs/>
          <w:sz w:val="32"/>
          <w:szCs w:val="32"/>
        </w:rPr>
        <w:t xml:space="preserve">СТАТЬЯ II </w:t>
      </w:r>
    </w:p>
    <w:p>
      <w:pPr>
        <w:spacing w:after="240" w:before="200"/>
        <w:jc w:val="center"/>
      </w:pPr>
      <w:r>
        <w:rPr>
          <w:rFonts w:ascii="Arial" w:cs="Arial" w:eastAsia="Arial" w:hAnsi="Arial"/>
          <w:b/>
          <w:bCs/>
          <w:sz w:val="32"/>
          <w:szCs w:val="32"/>
        </w:rPr>
        <w:t xml:space="preserve">Кредит</w:t>
      </w:r>
    </w:p>
    <w:p>
      <w:pPr>
        <w:spacing w:after="120"/>
        <w:jc w:val="both"/>
      </w:pPr>
      <w:r>
        <w:rPr>
          <w:rFonts w:ascii="Arial" w:cs="Arial" w:eastAsia="Arial" w:hAnsi="Arial"/>
          <w:sz w:val="24"/>
          <w:szCs w:val="24"/>
        </w:rPr>
        <w:t xml:space="preserve">Раздел 2.01.      (а)  АБР  соглашается  предоставить  Заемщику из обычных капитальных ресурсов АБР кредит в размере двенадцати миллионов пятисот тысяч долларов (12 500 000 долларов США).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Срок погашения суммы основного долга по кредиту составляет 16 лет, при этом льготный период определен в подразделе (с) ниже.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Термин «льготный период», используемый в подразделе (Ь) настоящего Соглашения, означает период до первой даты погашения основной суммы долга в соответствии с графиком погашения долга, изложенным в Приложении 2 к настоящему Кредитному соглашению.</w:t>
      </w:r>
    </w:p>
    <w:p>
      <w:pPr>
        <w:spacing w:after="120"/>
        <w:jc w:val="both"/>
      </w:pPr>
      <w:r>
        <w:rPr>
          <w:rFonts w:ascii="Arial" w:cs="Arial" w:eastAsia="Arial" w:hAnsi="Arial"/>
          <w:sz w:val="24"/>
          <w:szCs w:val="24"/>
        </w:rPr>
        <w:t xml:space="preserve">Раздел 2.02.      Заемщик выплачивает АБР проценты по ставке 1% годовых в течение льготного периода и 1,5% годовых в последующий период от суммы кредита, снятого с кредитного счета, которая будет время от времени непогашенной.</w:t>
      </w:r>
    </w:p>
    <w:p>
      <w:pPr>
        <w:spacing w:after="120"/>
        <w:jc w:val="both"/>
      </w:pPr>
      <w:r>
        <w:rPr>
          <w:rFonts w:ascii="Arial" w:cs="Arial" w:eastAsia="Arial" w:hAnsi="Arial"/>
          <w:sz w:val="24"/>
          <w:szCs w:val="24"/>
        </w:rPr>
        <w:t xml:space="preserve">Раздел 2.03.      Процентные и любые другие платежи по кредиту должны выплачиваться ежегодно раз в полгода 15 марта и 15 сентября.</w:t>
      </w:r>
    </w:p>
    <w:p>
      <w:pPr>
        <w:spacing w:after="120"/>
        <w:jc w:val="both"/>
      </w:pPr>
      <w:r>
        <w:rPr>
          <w:rFonts w:ascii="Arial" w:cs="Arial" w:eastAsia="Arial" w:hAnsi="Arial"/>
          <w:sz w:val="24"/>
          <w:szCs w:val="24"/>
        </w:rPr>
        <w:t xml:space="preserve">Раздел 2.04.      Заемщик должен погасить основную сумму кредита, снятую с кредитного счета, в соответствии с графиком погашения долга, изложенным в Приложении 2 к настоящему Кредитному договору.</w:t>
      </w:r>
    </w:p>
    <w:p>
      <w:pPr>
        <w:spacing w:after="240" w:before="200"/>
        <w:jc w:val="center"/>
      </w:pPr>
      <w:r>
        <w:rPr>
          <w:rFonts w:ascii="Arial" w:cs="Arial" w:eastAsia="Arial" w:hAnsi="Arial"/>
          <w:b/>
          <w:bCs/>
          <w:sz w:val="32"/>
          <w:szCs w:val="32"/>
        </w:rPr>
        <w:t xml:space="preserve">СТАТЬЯ III </w:t>
      </w:r>
    </w:p>
    <w:p>
      <w:pPr>
        <w:spacing w:after="240" w:before="200"/>
        <w:jc w:val="center"/>
      </w:pPr>
      <w:r>
        <w:rPr>
          <w:rFonts w:ascii="Arial" w:cs="Arial" w:eastAsia="Arial" w:hAnsi="Arial"/>
          <w:b/>
          <w:bCs/>
          <w:sz w:val="32"/>
          <w:szCs w:val="32"/>
        </w:rPr>
        <w:t xml:space="preserve">Использование поступлений от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3.01.      Заемщик должен обеспечить, чтобы поступления от Кредита использовались исключительно для финансирования правомочных расходов по Проекту в соответствии с положениями настоящего Кредитного соглашения.</w:t>
      </w:r>
    </w:p>
    <w:p>
      <w:pPr>
        <w:spacing w:after="120"/>
        <w:jc w:val="both"/>
      </w:pPr>
      <w:r>
        <w:rPr>
          <w:rFonts w:ascii="Arial" w:cs="Arial" w:eastAsia="Arial" w:hAnsi="Arial"/>
          <w:sz w:val="24"/>
          <w:szCs w:val="24"/>
        </w:rPr>
        <w:t xml:space="preserve">Раздел 3.02.      Поступления   средств   кредита   распределяются и снимаются в соответствии с положениями Приложения 3 к настоящему Кредитному соглашению, поскольку такое Приложение может время от времени изменяться по соглашению между Заемщиком и АБР</w:t>
      </w:r>
    </w:p>
    <w:p>
      <w:pPr>
        <w:spacing w:after="120"/>
        <w:jc w:val="both"/>
      </w:pPr>
      <w:r>
        <w:rPr>
          <w:rFonts w:ascii="Arial" w:cs="Arial" w:eastAsia="Arial" w:hAnsi="Arial"/>
          <w:sz w:val="24"/>
          <w:szCs w:val="24"/>
        </w:rPr>
        <w:t xml:space="preserve">Раздел 3.03. За исключением случаев, когда АБР может договориться об ином, Заемщик должен закупать или обеспечить закупки в соответствии со статьями расходов, которые будут финансироваться за счет поступлений средств кредита в соответствии с положениями Приложения 4 к данному Кредитному соглашению</w:t>
      </w:r>
    </w:p>
    <w:p>
      <w:pPr>
        <w:spacing w:after="120"/>
        <w:jc w:val="both"/>
      </w:pPr>
      <w:r>
        <w:rPr>
          <w:rFonts w:ascii="Arial" w:cs="Arial" w:eastAsia="Arial" w:hAnsi="Arial"/>
          <w:sz w:val="24"/>
          <w:szCs w:val="24"/>
        </w:rPr>
        <w:t xml:space="preserve">Раздел 3.04.      Датой  закрытия  кредита для  целей  Раздела 8.02 Положения о кредите является 31 декабря 2023 года или такая другая дата, которая может время от времени согласовываться между Заемщиком и АБР. </w:t>
      </w:r>
      <w:r>
        <w:rPr>
          <w:rFonts w:ascii="Arial" w:cs="Arial" w:eastAsia="Arial" w:hAnsi="Arial"/>
          <w:i/>
          <w:iCs/>
          <w:sz w:val="24"/>
          <w:szCs w:val="24"/>
        </w:rPr>
        <w:t xml:space="preserve">[Примечание: уточнить перевод термина «Дата погашения кредита» на русский язык]</w:t>
      </w:r>
    </w:p>
    <w:p>
      <w:pPr>
        <w:spacing w:after="240" w:before="200"/>
        <w:jc w:val="center"/>
      </w:pPr>
      <w:r>
        <w:rPr>
          <w:rFonts w:ascii="Arial" w:cs="Arial" w:eastAsia="Arial" w:hAnsi="Arial"/>
          <w:b/>
          <w:bCs/>
          <w:sz w:val="32"/>
          <w:szCs w:val="32"/>
        </w:rPr>
        <w:t xml:space="preserve">СТАТЬЯ IV</w:t>
      </w:r>
    </w:p>
    <w:p>
      <w:pPr>
        <w:spacing w:after="240" w:before="200"/>
        <w:jc w:val="center"/>
      </w:pPr>
      <w:r>
        <w:rPr>
          <w:rFonts w:ascii="Arial" w:cs="Arial" w:eastAsia="Arial" w:hAnsi="Arial"/>
          <w:b/>
          <w:bCs/>
          <w:sz w:val="32"/>
          <w:szCs w:val="32"/>
        </w:rPr>
        <w:t xml:space="preserve">Особые условия</w:t>
      </w:r>
    </w:p>
    <w:p>
      <w:pPr>
        <w:spacing w:after="120"/>
        <w:jc w:val="both"/>
      </w:pPr>
      <w:r>
        <w:rPr>
          <w:rFonts w:ascii="Arial" w:cs="Arial" w:eastAsia="Arial" w:hAnsi="Arial"/>
          <w:sz w:val="24"/>
          <w:szCs w:val="24"/>
        </w:rPr>
        <w:t xml:space="preserve">Раздел 4.01.      При    осуществлении    Проекта    Заемщик должен выполнить или обеспечить выполнение всех обязателоств , изложенных в настоящем Кредитном соглашении и Приложении 4 к данному Кредитному соглашению.</w:t>
      </w:r>
    </w:p>
    <w:p>
      <w:pPr>
        <w:spacing w:after="120"/>
        <w:jc w:val="both"/>
      </w:pPr>
      <w:r>
        <w:rPr>
          <w:rFonts w:ascii="Arial" w:cs="Arial" w:eastAsia="Arial" w:hAnsi="Arial"/>
          <w:sz w:val="24"/>
          <w:szCs w:val="24"/>
        </w:rPr>
        <w:t xml:space="preserve">Раздел 4.02.      (а)  Заемщик должен (i) вести отдельные счета и учетные записи по Проекту; (ii) подготавливать годовую финансовую отчетность по Проекту в соответствии со стандартами финансовой отчетности, правомочными для АБР; (iii) ежегодно проводить аудит такой финансовой отчетности силами независимых аудиторов, квалификация, опыт и техническое задание которых приемлемы для АБР и соответствуют стандартам аудита, приемлемым для АБР; (iv) в рамках каждого такого аудита аудиторы готовят отчет, который включает аудиторское заключение(заключения) по финансовой отчетности и использованию средств кредита и гранта, а также Письмо руководству (в котором излагаются недостатки во внутреннем контроле Проекта, которые были выявлены в ходе аудита, если таковые имеются); (v) предоставлять в АБР не позднее, чем через 6 месяцев после окончания каждого соответствующего финансового года копии таких прошедших аудит финансовых отчетов, аудиторского отчета и Письма руководству, все на английском языке, и подобную другую информацию, касающуюся этих документов и их аудита, которую АБР должен время от времени обоснованно запрашивать.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АБР раскрывает годовую прошедшую аудит финансовую отчетность по Проекту и Заключение аудиторов по финансовой отчетности в течение 14 дней с даты подтверждения АБР их правомочности путем размещения их на веб-сайте АБР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Заемщик предоставляет АБР возможность, по просьбе АБР, обсуждать финансовые отчеты по Проекту и финансовые дела Заемщика, если они имеют отношение к Проекту, с аудиторами, назначенными в соответствии с подразделом (a) (iii) настоящего Соглашения, и уполномочивает и требует, чтобы любой представитель таких аудиторов участвовал в любых таких обсуждениях, запрошенных АБР Предусмотрено, что такие обсуждения должны проводиться только в присутствии уполномоченного должностного лица Заемщика, если Заемщик не согласен на иное.</w:t>
      </w:r>
    </w:p>
    <w:p>
      <w:pPr>
        <w:spacing w:after="120"/>
        <w:jc w:val="both"/>
      </w:pPr>
      <w:r>
        <w:rPr>
          <w:rFonts w:ascii="Arial" w:cs="Arial" w:eastAsia="Arial" w:hAnsi="Arial"/>
          <w:sz w:val="24"/>
          <w:szCs w:val="24"/>
        </w:rPr>
        <w:t xml:space="preserve">Раздел 4.03.      Заемщик должен предоставить представителям АБР возможность проинспектировать Проект, товары и услуги, а также любые соответствующие учетные записи и документы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Приостановка; Ускорение срока погашения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5.01.      В качестве дополнительного события для приостановки права Заемщика на снятие средств с кредитного счета для целей Раздела 8.01 (т) Положения о кредитовании указано следующее: Грант становится ответственным за приостановление или отмену.</w:t>
      </w:r>
    </w:p>
    <w:p>
      <w:pPr>
        <w:spacing w:after="120"/>
        <w:jc w:val="both"/>
      </w:pPr>
      <w:r>
        <w:rPr>
          <w:rFonts w:ascii="Arial" w:cs="Arial" w:eastAsia="Arial" w:hAnsi="Arial"/>
          <w:sz w:val="24"/>
          <w:szCs w:val="24"/>
        </w:rPr>
        <w:t xml:space="preserve">Раздел 5.02.      3 качестве дополнительного события для ускорения срока погашения для целей Раздела 8.07(d) Положения о кредитовании указано следующее: должно произойти любое из событий, указанных в Разделе 5.01 настоящего Кредитного соглашения.</w:t>
      </w:r>
    </w:p>
    <w:p>
      <w:pPr>
        <w:spacing w:after="240" w:before="200"/>
        <w:jc w:val="center"/>
      </w:pPr>
      <w:r>
        <w:rPr>
          <w:rFonts w:ascii="Arial" w:cs="Arial" w:eastAsia="Arial" w:hAnsi="Arial"/>
          <w:b/>
          <w:bCs/>
          <w:sz w:val="32"/>
          <w:szCs w:val="32"/>
        </w:rPr>
        <w:t xml:space="preserve">СТАТЬЯ VI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6.01.      Следующее   указано   в   качестве дополнительного условия для вступления в силу настоящего Кредитного соглашения для целей Раздела 9.01(f) Положения о кредитовании: Соглашение о предоставлении гранта должно быть должным образом одобрено или ратифицировано, исполнено и передано от имени Заемщика, и все условия, предшествующие его вступлению в силу (кроме условия, требующего вступления в силу настоящего Кредитного соглашения), должны быть выполнены.</w:t>
      </w:r>
    </w:p>
    <w:p>
      <w:pPr>
        <w:spacing w:after="120"/>
        <w:jc w:val="both"/>
      </w:pPr>
      <w:r>
        <w:rPr>
          <w:rFonts w:ascii="Arial" w:cs="Arial" w:eastAsia="Arial" w:hAnsi="Arial"/>
          <w:sz w:val="24"/>
          <w:szCs w:val="24"/>
        </w:rPr>
        <w:t xml:space="preserve">Раздел 6.02.      В   качестве  дополнительного   вопроса  для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Раздела 9.02(d) Положения о кредитовании, который должен быть включен в Заключение или Заключения, которые должны быть представлены в АБР, указано следующее что Соглашение о предоставлении гранта было должным образом одобрено или ратифицировано, исполнено и передано от имени Заемщика и является юридически обязательным для Заемщика в соответствии с его условиями, только при условии вступления в силу настоящего Кредитного соглашения.</w:t>
      </w:r>
    </w:p>
    <w:p>
      <w:pPr>
        <w:spacing w:after="120"/>
        <w:jc w:val="both"/>
      </w:pPr>
      <w:r>
        <w:rPr>
          <w:rFonts w:ascii="Arial" w:cs="Arial" w:eastAsia="Arial" w:hAnsi="Arial"/>
          <w:sz w:val="24"/>
          <w:szCs w:val="24"/>
        </w:rPr>
        <w:t xml:space="preserve">Раздел 6.03       Дата через 90 дней после даты настоящего Кредитного соглашения указана как дата вступления в силу настоящего Кредитного соглашения для целей Раздела 9.04 Положения о предоставлении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w:t>
      </w:r>
    </w:p>
    <w:p>
      <w:pPr>
        <w:spacing w:after="120"/>
        <w:jc w:val="center"/>
      </w:pPr>
      <w:r>
        <w:rPr>
          <w:rFonts w:ascii="Arial" w:cs="Arial" w:eastAsia="Arial" w:hAnsi="Arial"/>
          <w:b/>
          <w:bCs/>
          <w:sz w:val="24"/>
          <w:szCs w:val="24"/>
        </w:rPr>
        <w:t xml:space="preserve">Разно</w:t>
      </w:r>
      <w:r>
        <w:rPr>
          <w:rFonts w:ascii="Arial" w:cs="Arial" w:eastAsia="Arial" w:hAnsi="Arial"/>
          <w:b/>
          <w:bCs/>
          <w:sz w:val="24"/>
          <w:szCs w:val="24"/>
        </w:rPr>
        <w:t xml:space="preserve">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7.01.      Министр экономики и финансов Заемщика назначается в качестве представителя Заемщика для целей Раздела 11.02 Положения о кредитовании.</w:t>
      </w:r>
    </w:p>
    <w:p>
      <w:pPr>
        <w:spacing w:after="120"/>
        <w:jc w:val="both"/>
      </w:pPr>
      <w:r>
        <w:rPr>
          <w:rFonts w:ascii="Arial" w:cs="Arial" w:eastAsia="Arial" w:hAnsi="Arial"/>
          <w:sz w:val="24"/>
          <w:szCs w:val="24"/>
        </w:rPr>
        <w:t xml:space="preserve">Раздел 7.02.      Следующие адреса указаны для целей Раздела 11.01 Положения о кредитовании:</w:t>
      </w:r>
    </w:p>
    <w:p>
      <w:pPr>
        <w:spacing w:after="120"/>
        <w:jc w:val="both"/>
      </w:pPr>
      <w:r>
        <w:rPr>
          <w:rFonts w:ascii="Arial" w:cs="Arial" w:eastAsia="Arial" w:hAnsi="Arial"/>
          <w:sz w:val="24"/>
          <w:szCs w:val="24"/>
        </w:rPr>
        <w:t xml:space="preserve">Для Заемщика</w:t>
      </w:r>
    </w:p>
    <w:p>
      <w:pPr>
        <w:spacing w:after="120"/>
        <w:ind w:firstLine="708"/>
        <w:jc w:val="both"/>
      </w:pPr>
      <w:r>
        <w:rPr>
          <w:rFonts w:ascii="Arial" w:cs="Arial" w:eastAsia="Arial" w:hAnsi="Arial"/>
          <w:sz w:val="24"/>
          <w:szCs w:val="24"/>
        </w:rPr>
        <w:t xml:space="preserve">Министерство экономики и финансов Бульвар Эркиндик 58 Бишкек 720040</w:t>
      </w:r>
    </w:p>
    <w:p>
      <w:pPr>
        <w:spacing w:after="120"/>
        <w:ind w:firstLine="708"/>
        <w:jc w:val="both"/>
      </w:pPr>
      <w:r>
        <w:rPr>
          <w:rFonts w:ascii="Arial" w:cs="Arial" w:eastAsia="Arial" w:hAnsi="Arial"/>
          <w:sz w:val="24"/>
          <w:szCs w:val="24"/>
        </w:rPr>
        <w:t xml:space="preserve">Номер факсимильной связи:</w:t>
      </w:r>
    </w:p>
    <w:p>
      <w:pPr>
        <w:spacing w:after="120"/>
        <w:ind w:firstLine="708"/>
        <w:jc w:val="both"/>
      </w:pPr>
      <w:r>
        <w:rPr>
          <w:rFonts w:ascii="Arial" w:cs="Arial" w:eastAsia="Arial" w:hAnsi="Arial"/>
          <w:sz w:val="24"/>
          <w:szCs w:val="24"/>
        </w:rPr>
        <w:t xml:space="preserve">(996) 312 661645</w:t>
      </w:r>
    </w:p>
    <w:p>
      <w:pPr>
        <w:spacing w:after="120"/>
        <w:jc w:val="both"/>
      </w:pPr>
      <w:r>
        <w:rPr>
          <w:rFonts w:ascii="Arial" w:cs="Arial" w:eastAsia="Arial" w:hAnsi="Arial"/>
          <w:sz w:val="24"/>
          <w:szCs w:val="24"/>
        </w:rPr>
        <w:t xml:space="preserve">Для АБР</w:t>
      </w:r>
    </w:p>
    <w:p>
      <w:pPr>
        <w:spacing w:after="120"/>
        <w:ind w:firstLine="708"/>
        <w:jc w:val="both"/>
      </w:pPr>
      <w:r>
        <w:rPr>
          <w:rFonts w:ascii="Arial" w:cs="Arial" w:eastAsia="Arial" w:hAnsi="Arial"/>
          <w:sz w:val="24"/>
          <w:szCs w:val="24"/>
        </w:rPr>
        <w:t xml:space="preserve">Азиатский банк развития</w:t>
      </w:r>
    </w:p>
    <w:p>
      <w:pPr>
        <w:spacing w:after="120"/>
        <w:ind w:firstLine="708"/>
        <w:jc w:val="both"/>
      </w:pPr>
      <w:r>
        <w:rPr>
          <w:rFonts w:ascii="Arial" w:cs="Arial" w:eastAsia="Arial" w:hAnsi="Arial"/>
          <w:sz w:val="24"/>
          <w:szCs w:val="24"/>
        </w:rPr>
        <w:t xml:space="preserve"> 6 ADB Avenue Mandaluyong City </w:t>
      </w:r>
    </w:p>
    <w:p>
      <w:pPr>
        <w:spacing w:after="120"/>
        <w:ind w:firstLine="708"/>
        <w:jc w:val="both"/>
      </w:pPr>
      <w:r>
        <w:rPr>
          <w:rFonts w:ascii="Arial" w:cs="Arial" w:eastAsia="Arial" w:hAnsi="Arial"/>
          <w:sz w:val="24"/>
          <w:szCs w:val="24"/>
        </w:rPr>
        <w:t xml:space="preserve">1550 </w:t>
      </w:r>
      <w:r>
        <w:rPr>
          <w:rFonts w:ascii="Arial" w:cs="Arial" w:eastAsia="Arial" w:hAnsi="Arial"/>
          <w:sz w:val="24"/>
          <w:szCs w:val="24"/>
        </w:rPr>
        <w:t xml:space="preserve">Метро Манила Филиппины</w:t>
      </w:r>
    </w:p>
    <w:p>
      <w:pPr>
        <w:spacing w:after="120"/>
        <w:ind w:firstLine="708"/>
        <w:jc w:val="both"/>
      </w:pPr>
      <w:r>
        <w:rPr>
          <w:rFonts w:ascii="Arial" w:cs="Arial" w:eastAsia="Arial" w:hAnsi="Arial"/>
          <w:sz w:val="24"/>
          <w:szCs w:val="24"/>
        </w:rPr>
        <w:t xml:space="preserve">Номер факсимильной связи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(632) 8636-2444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НАСТОЯЩЕГО, Стороны данного Соглашения, действуя через своих представителей, должным образом уполномоченных на это, обязали подписать настоящее Кредитное соглашение от своего соответствующего имени на день и год, указанные выше, и доставить его в головной офис АБР.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Заместитель председателя Кабинета министров, Министр экономики и финансов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АЗИАТСКИЙ БАНК РАЗВИТИЯ</w:t>
      </w:r>
    </w:p>
    <w:p>
      <w:pPr>
        <w:spacing w:after="120"/>
        <w:jc w:val="center"/>
      </w:pPr>
      <w:r>
        <w:rPr>
          <w:rFonts w:ascii="Arial" w:cs="Arial" w:eastAsia="Arial" w:hAnsi="Arial"/>
          <w:sz w:val="24"/>
          <w:szCs w:val="24"/>
        </w:rPr>
        <w:t xml:space="preserve">[КАНОКПАН ЛАО-АРАИЯ] Страновой директор Постоянное представительство в Кыргызстане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1</w:t>
      </w:r>
    </w:p>
    <w:p>
      <w:pPr>
        <w:spacing w:after="240" w:before="200"/>
        <w:jc w:val="center"/>
      </w:pPr>
      <w:r>
        <w:rPr>
          <w:rFonts w:ascii="Arial" w:cs="Arial" w:eastAsia="Arial" w:hAnsi="Arial"/>
          <w:b/>
          <w:bCs/>
          <w:sz w:val="32"/>
          <w:szCs w:val="32"/>
        </w:rPr>
        <w:t xml:space="preserve">Описание проекта </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1.Цель проекта: вакцинация против COVID-19 приоритетных групп населения. Более подробно Проект описан в Письме управляющего.</w:t>
      </w:r>
    </w:p>
    <w:p>
      <w:pPr>
        <w:spacing w:after="120"/>
        <w:jc w:val="both"/>
      </w:pPr>
      <w:r>
        <w:rPr>
          <w:rFonts w:ascii="Arial" w:cs="Arial" w:eastAsia="Arial" w:hAnsi="Arial"/>
          <w:sz w:val="24"/>
          <w:szCs w:val="24"/>
        </w:rPr>
        <w:t xml:space="preserve">2.  Проект должен включать в себя следующее:</w:t>
      </w:r>
    </w:p>
    <w:p>
      <w:pPr>
        <w:spacing w:after="120"/>
        <w:jc w:val="both"/>
      </w:pPr>
      <w:r>
        <w:rPr>
          <w:rFonts w:ascii="Arial" w:cs="Arial" w:eastAsia="Arial" w:hAnsi="Arial"/>
          <w:sz w:val="24"/>
          <w:szCs w:val="24"/>
        </w:rPr>
        <w:t xml:space="preserve">(а) </w:t>
      </w:r>
      <w:r>
        <w:rPr>
          <w:rFonts w:ascii="Arial" w:cs="Arial" w:eastAsia="Arial" w:hAnsi="Arial"/>
          <w:b/>
          <w:bCs/>
          <w:sz w:val="24"/>
          <w:szCs w:val="24"/>
        </w:rPr>
        <w:t xml:space="preserve">Компонент 1: Компонент быстрого реагирования (КБР1) для закупки вакцин против COVID-19 и доставки их в пункты назначения, в том числе: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закупка и транспортировка около 1,7 миллиона доз правомочных вакцин от места покупки до назначенных национальных, региональных и районных медицинских учреждений в Кыргызской Республике,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закупка вспомогательных товаров и услуг (включая сейфы, шприцы и другие вспомогательные предметы), необходимых для безопасной и эффективной транспортировки, хранения и администрирования правомочных вакцин в назначенных медицинских учреждениях.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b/>
          <w:bCs/>
          <w:sz w:val="24"/>
          <w:szCs w:val="24"/>
        </w:rPr>
        <w:t xml:space="preserve">Компонент 2: Инвестиционный компонент проекта (ИКП) для укрепления потенциала по реализации программы вакцинации, включая: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мероприятия по укреплению потенциала, призванные помочь Исполнительному агентству Проекта эффективно и действенно осуществлять закупки и поставки вакцин против COVID-19;</w:t>
      </w:r>
    </w:p>
    <w:p>
      <w:pPr>
        <w:spacing w:after="120"/>
        <w:jc w:val="both"/>
      </w:pPr>
      <w:r>
        <w:rPr>
          <w:rFonts w:ascii="Arial" w:cs="Arial" w:eastAsia="Arial" w:hAnsi="Arial"/>
          <w:sz w:val="24"/>
          <w:szCs w:val="24"/>
        </w:rPr>
        <w:t xml:space="preserve">(ii) консультационная поддержка в целях укрепления вопросов координации и управления проектом, закупок, финансового управления и выделения средств, комплексного учета тендерной проблематики, мониторинга и оценки, аудита проделанной работы и финансового аудита и опрос получателей вакцин относительно их удовлетворенности.</w:t>
      </w:r>
    </w:p>
    <w:p>
      <w:pPr>
        <w:spacing w:after="120"/>
        <w:jc w:val="both"/>
      </w:pPr>
      <w:r>
        <w:rPr>
          <w:rFonts w:ascii="Arial" w:cs="Arial" w:eastAsia="Arial" w:hAnsi="Arial"/>
          <w:sz w:val="24"/>
          <w:szCs w:val="24"/>
        </w:rPr>
        <w:t xml:space="preserve">3.  Ожидается, что проект будет завершен к 30 июня 2023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2</w:t>
      </w:r>
    </w:p>
    <w:p>
      <w:pPr>
        <w:spacing w:after="240" w:before="200"/>
        <w:jc w:val="center"/>
      </w:pPr>
      <w:r>
        <w:rPr>
          <w:rFonts w:ascii="Arial" w:cs="Arial" w:eastAsia="Arial" w:hAnsi="Arial"/>
          <w:b/>
          <w:bCs/>
          <w:sz w:val="32"/>
          <w:szCs w:val="32"/>
        </w:rPr>
        <w:t xml:space="preserve">Приложение по погашению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Причитающаяся оплата                                                                                                             Погашение основного долга</w:t>
      </w:r>
    </w:p>
    <w:p>
      <w:pPr>
        <w:spacing w:after="120"/>
        <w:jc w:val="both"/>
      </w:pPr>
      <w:r>
        <w:rPr>
          <w:rFonts w:ascii="Arial" w:cs="Arial" w:eastAsia="Arial" w:hAnsi="Arial"/>
          <w:sz w:val="24"/>
          <w:szCs w:val="24"/>
        </w:rPr>
        <w:t xml:space="preserve">(выражено в долларах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оплаты регулируется положениями пунктов 3.04 и 4.03 Положения о предоставлении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3</w:t>
      </w:r>
    </w:p>
    <w:p>
      <w:pPr>
        <w:spacing w:after="240" w:before="200"/>
        <w:jc w:val="center"/>
      </w:pPr>
      <w:r>
        <w:rPr>
          <w:rFonts w:ascii="Arial" w:cs="Arial" w:eastAsia="Arial" w:hAnsi="Arial"/>
          <w:b/>
          <w:bCs/>
          <w:sz w:val="32"/>
          <w:szCs w:val="32"/>
        </w:rPr>
        <w:t xml:space="preserve">Распределение и снятие кредитных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таблице, прилагаемой к этому Приложению, указаны категории статей правомочных расходов, подлежащих финансированию за счет средств кредита, и распределение средств кредита по каждой такой категории («Таблица»). (Ссылка на «Категорию» в этом Приложении относится к категории Таблицы.)</w:t>
      </w:r>
    </w:p>
    <w:p>
      <w:pPr>
        <w:spacing w:after="120"/>
        <w:jc w:val="both"/>
      </w:pPr>
      <w:r>
        <w:rPr>
          <w:rFonts w:ascii="Arial" w:cs="Arial" w:eastAsia="Arial" w:hAnsi="Arial"/>
          <w:sz w:val="24"/>
          <w:szCs w:val="24"/>
        </w:rPr>
        <w:t xml:space="preserve">Основание для снятия средств с кредитного счета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 исключением случаев, когда АБР может договориться об ином, средства кредита распределяются по статьям правомочных расходов и выплачиваются на основе процента снятия средств по каждой статье расходов, указанной в Таблице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Что касается любой вакцины против COVID-19. АБР финансирует только те вакцины, которые продолжают квалифицироваться в качестве правомочной вакцины на момент подачи запроса на снятие средств с кредитного счета.</w:t>
      </w:r>
    </w:p>
    <w:p>
      <w:pPr>
        <w:spacing w:after="120"/>
        <w:jc w:val="both"/>
      </w:pPr>
      <w:r>
        <w:rPr>
          <w:rFonts w:ascii="Arial" w:cs="Arial" w:eastAsia="Arial" w:hAnsi="Arial"/>
          <w:sz w:val="24"/>
          <w:szCs w:val="24"/>
        </w:rPr>
        <w:t xml:space="preserve">Начисление процентов</w:t>
      </w:r>
    </w:p>
    <w:p>
      <w:pPr>
        <w:spacing w:after="120"/>
        <w:jc w:val="both"/>
      </w:pPr>
      <w:r>
        <w:rPr>
          <w:rFonts w:ascii="Arial" w:cs="Arial" w:eastAsia="Arial" w:hAnsi="Arial"/>
          <w:sz w:val="24"/>
          <w:szCs w:val="24"/>
        </w:rPr>
        <w:t xml:space="preserve">Сумма, отнесенная к категории «Процентные расходы», предназначена для финансирования процентных расходов по кредиту в период реализации Проекта. АБР имеет право снять средства с кредитного счета и выплатить себе от имени Заемщика суммы, необходимые для погашения таких процентных платежей, когда это необходимо.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Перераспределение</w:t>
      </w:r>
    </w:p>
    <w:p>
      <w:pPr>
        <w:spacing w:after="120"/>
        <w:jc w:val="both"/>
      </w:pPr>
      <w:r>
        <w:rPr>
          <w:rFonts w:ascii="Arial" w:cs="Arial" w:eastAsia="Arial" w:hAnsi="Arial"/>
          <w:sz w:val="24"/>
          <w:szCs w:val="24"/>
        </w:rPr>
        <w:t xml:space="preserve">5.  Независимо от распределения поступлений от кредита и процента снятия средств, указанных в Таблице,</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если сумма кредита, выделенного по какой-либо Категории, окажется недостаточной для финансирования всех согласованных расходов по этой Категории, АБР может, уведомив Заемщика, (i) перераспределить в такую Категорию в объеме, необходимом для покрытия предполагаемого дефицита, те суммы кредита, которые были выделены по другой Категории, но, по мнению АБР. не требуются для покрытия таких других расходов, (ii) если такое перераспределение не может полностью покрыть предполагаемый дефицит, уменьшить процент снятия, применимый к таким расходам, с тем чтобы дальнейшие снятия в рамках такой категории могли продолжаться до тех пор, пока не будут произведены все расходы по ней;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если окажется что сумма кредита, выделенного по какой-либо Категории, превышает все согласованные расходы по этой Категории, АБР может, уведомив Заемщика, перераспределить такую избыточную сумму в любую другую Категорию.</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выплаты</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 За исключением случаев, когда АБР может согласовать иное, поступления от кредита должны быть выплачены в соответствии с Руководством по выплате кредитов.</w:t>
      </w:r>
    </w:p>
    <w:p>
      <w:pPr>
        <w:spacing w:after="120"/>
        <w:jc w:val="both"/>
      </w:pPr>
      <w:r>
        <w:rPr>
          <w:rFonts w:ascii="Arial" w:cs="Arial" w:eastAsia="Arial" w:hAnsi="Arial"/>
          <w:sz w:val="24"/>
          <w:szCs w:val="24"/>
        </w:rPr>
        <w:t xml:space="preserve">Авансовое финансирование и ретроактивное финансирование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Снятие средств со счета кредита может быть произведено для целей авансового финансирования предполагаемых правомочных расходов на срок до 6 месяцев, или 50% от всей суммы кредита, в зависимости от того, какая сумма меньше, в соответствии с процедурами авансового финансирования, описанными в Руководстве по выплате кредитов.</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  Снятие  средств  с  кредитного  счета   может  быть   произведено для финансирования правомочных расходов, понесенных в рамках Проекта до даты вступления в силу по пунктам, подлежащим ретрсактивному финансированию, при том, что максимальная сумма эквивалентна 30% от суммы кредита, при условии, что расходы были понесены после объявления чрезвычайной ситуации по COVID-19, но не ранее чем за 12 месяцев до даты настоящего Кредитного соглашения.</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Совокупный остаток непогашенной суммы авансового финансирования и процент, утвержденный для ретроактивного финансирования, никогда не должен превышать 60% суммы кредита.</w:t>
      </w:r>
    </w:p>
    <w:p>
      <w:pPr>
        <w:spacing w:after="120"/>
        <w:jc w:val="both"/>
      </w:pPr>
      <w:r>
        <w:rPr>
          <w:rFonts w:ascii="Arial" w:cs="Arial" w:eastAsia="Arial" w:hAnsi="Arial"/>
          <w:sz w:val="24"/>
          <w:szCs w:val="24"/>
        </w:rPr>
        <w:t xml:space="preserve">[Условие для снятия средств с кредитного счета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Несмотря на любые другие положения настоящего Кредитного соглашения, снятие средств с кредитного счета не производится ни по одному из товаров Категории 1 из приведенной ниже таблицы до тех пор, пока:</w:t>
      </w:r>
    </w:p>
    <w:p>
      <w:pPr>
        <w:spacing w:after="120"/>
        <w:jc w:val="both"/>
      </w:pPr>
      <w:r>
        <w:rPr>
          <w:rFonts w:ascii="Arial" w:cs="Arial" w:eastAsia="Arial" w:hAnsi="Arial"/>
          <w:sz w:val="24"/>
          <w:szCs w:val="24"/>
        </w:rPr>
        <w:t xml:space="preserve">(а) АБР ни получит письмо от Заемщика, подтверждающее (i) какая вакцина(вакцины) против COVID-19 была/были выбраны для закупки и/или транспортировки с использованием средств гранта; (ii) какой из Критериев правомочности был выполнен в отношении выбранных вакцин против COVID-19; (iii), что такая вакцина(вакцины) против COVID-19 получила/получили все необходимые разрешения Заемщика и была одобрена ДЛСиМИ и любыми другими соответствующими регулирующими органами для распространения и администрирования на территории Заемщика;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на основе информации, представленной п вышеупомянутом письме, АБР ни уведомил Заемщика о том, что вакцина(ы) против COVID-19, подлежащая закупке и/или транспортировке, обозначена в качестве правомочной вакцины.]</w:t>
      </w:r>
    </w:p>
    <w:p>
      <w:pPr>
        <w:spacing w:after="120"/>
        <w:jc w:val="both"/>
      </w:pPr>
      <w:r>
        <w:rPr>
          <w:rFonts w:ascii="Arial" w:cs="Arial" w:eastAsia="Arial" w:hAnsi="Arial"/>
          <w:sz w:val="24"/>
          <w:szCs w:val="24"/>
        </w:rPr>
        <w:t xml:space="preserve"/>
      </w:r>
    </w:p>
    <w:p>
      <w:pPr>
        <w:spacing w:after="120" w:before="106"/>
        <w:jc w:val="center"/>
      </w:pPr>
      <w:r>
        <w:rPr>
          <w:rFonts w:ascii="Arial" w:cs="Arial" w:eastAsia="Arial" w:hAnsi="Arial"/>
          <w:b/>
          <w:bCs/>
          <w:sz w:val="24"/>
          <w:szCs w:val="24"/>
        </w:rPr>
        <w:t xml:space="preserve">ТАБЛИЦА</w:t>
      </w:r>
    </w:p>
    <w:p>
      <w:pPr>
        <w:spacing w:after="120" w:before="106"/>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РАСПРЕДЕЛЕНИЕ И СНЯТИЕ ПОСТУПЛЕНИЙ ОТ КРЕДИТА</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Номер</w:t>
            </w:r>
          </w:p>
        </w:tc>
        <w:tc>
          <w:tcPr>
            <w:tcW w:type="dxa" w:w="254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Пункт</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 выделенная для финансирования АБР</w:t>
            </w:r>
          </w:p>
          <w:p>
            <w:pPr>
              <w:jc w:val="left"/>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Основание для снятия средств с кредитного счета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Категория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Товары (включая</w:t>
            </w:r>
          </w:p>
          <w:p>
            <w:pPr>
              <w:jc w:val="left"/>
            </w:pPr>
            <w:r>
              <w:rPr>
                <w:rFonts w:ascii="Arial" w:cs="Arial" w:eastAsia="Arial" w:hAnsi="Arial"/>
                <w:sz w:val="24"/>
                <w:szCs w:val="24"/>
              </w:rPr>
              <w:t xml:space="preserve">правомочные</w:t>
            </w:r>
          </w:p>
          <w:p>
            <w:pPr>
              <w:jc w:val="left"/>
            </w:pPr>
            <w:r>
              <w:rPr>
                <w:rFonts w:ascii="Arial" w:cs="Arial" w:eastAsia="Arial" w:hAnsi="Arial"/>
                <w:sz w:val="24"/>
                <w:szCs w:val="24"/>
              </w:rPr>
              <w:t xml:space="preserve">вакцины,</w:t>
            </w:r>
          </w:p>
          <w:p>
            <w:pPr>
              <w:jc w:val="left"/>
            </w:pPr>
            <w:r>
              <w:rPr>
                <w:rFonts w:ascii="Arial" w:cs="Arial" w:eastAsia="Arial" w:hAnsi="Arial"/>
                <w:sz w:val="24"/>
                <w:szCs w:val="24"/>
              </w:rPr>
              <w:t xml:space="preserve">вспомогательные товары и сопутствующие не консультационные услуги (включая международную и внутреннюю логистику) и оплата за управление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11 051 430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от заявленных общих расходов *</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Начисление процентов в ходе реализации</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89 571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причитающихся сумм</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Нераспределенная сумма</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1 358 999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12 500 000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вычетом налогов и пошлин, взимаемых на территории Заемщика. При условии соблюдения условий снятия, описанных в пункте 10 настсящего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58" w:before="36"/>
        <w:jc w:val="center"/>
      </w:pPr>
      <w:r>
        <w:rPr>
          <w:rFonts w:ascii="Arial" w:cs="Arial" w:eastAsia="Arial" w:hAnsi="Arial"/>
          <w:b/>
          <w:bCs/>
          <w:sz w:val="24"/>
          <w:szCs w:val="24"/>
        </w:rPr>
        <w:t xml:space="preserve">ПРИЛОЖЕНИЕ 4</w:t>
      </w:r>
    </w:p>
    <w:p>
      <w:pPr>
        <w:spacing w:after="120" w:before="70"/>
        <w:jc w:val="center"/>
      </w:pPr>
      <w:r>
        <w:rPr>
          <w:rFonts w:ascii="Arial" w:cs="Arial" w:eastAsia="Arial" w:hAnsi="Arial"/>
          <w:b/>
          <w:bCs/>
          <w:sz w:val="24"/>
          <w:szCs w:val="24"/>
        </w:rPr>
        <w:t xml:space="preserve">                                     Выполнение проекта; Финансовые вопросы</w:t>
      </w:r>
    </w:p>
    <w:p>
      <w:pPr>
        <w:spacing w:after="120"/>
        <w:jc w:val="both"/>
      </w:pPr>
      <w:r>
        <w:rPr>
          <w:rFonts w:ascii="Arial" w:cs="Arial" w:eastAsia="Arial" w:hAnsi="Arial"/>
          <w:sz w:val="24"/>
          <w:szCs w:val="24"/>
        </w:rPr>
        <w:t xml:space="preserve">Механизмы реализации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Заемщик через Исполнительное агентство Проекта должен обеспечить, чтобы Проект был реализован в соответствии с подробными договоренностями, изложенными в РУП. Любое последующее изменение РУП вступает в силу только после одобрения такого изменения Заемщиком и АБР. В случае любого расхождения между РУП, с одной стороны, и настоящим Кредитным соглашением или Соглашением о предоставлении гранта, с другой стороны, преимущественную силу имеют положения настоящего Кредитного соглашения и Соглашения о предоставлении гранта</w:t>
      </w:r>
    </w:p>
    <w:p>
      <w:pPr>
        <w:spacing w:after="120"/>
        <w:jc w:val="both"/>
      </w:pPr>
      <w:r>
        <w:rPr>
          <w:rFonts w:ascii="Arial" w:cs="Arial" w:eastAsia="Arial" w:hAnsi="Arial"/>
          <w:sz w:val="24"/>
          <w:szCs w:val="24"/>
        </w:rPr>
        <w:t xml:space="preserve">Закупки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Заемщик через Исполнительное агентство Проекта должен обеспечить, чтобы: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если АБР не одобрит иное, закупки товаров и услуг осуществлялись в соответствии с Политикой о закупках и Положениями о закупках;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Товары и услуги должны закупаться на основе подробных договоренностей, изложенных в Плане закупок, включая методы закупок и методы отбора, тип тендерной документации и требования АБР к обзору. Заемщик может изменить подробные договоренности, изложенные в Плане закупок, только с предварительного согласия АБР, и такие изменения должны быть изложены в обновленном Плане закупок;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Товары и услуги также могут быть закуплены в рамках Проекта у стран, не являющихся членами АБР;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(i) все приобретенные товары и полученные услуги (включая все компьютерное оборудование, программное обеспечение и системы, независимо от того, приобретены ли они отдельно или включены в состав других приобретенных товаров и услуг) не должны нарушать и не нарушают никаких прав промышленной собственности или интеллектуальной собственности или претензий какой-либо третьей стороны; (ii) все контракты на закупку товаров и услуг содержат соответствующие заверения, гарантии и, при необходимости, компенсации от подрядчика, поставщика, консультанта или провайдера услуг в отношении вопросов, упомянутых в этом подпункте.</w:t>
      </w:r>
    </w:p>
    <w:p>
      <w:pPr>
        <w:spacing w:after="120"/>
        <w:jc w:val="both"/>
      </w:pPr>
      <w:r>
        <w:rPr>
          <w:rFonts w:ascii="Arial" w:cs="Arial" w:eastAsia="Arial" w:hAnsi="Arial"/>
          <w:sz w:val="24"/>
          <w:szCs w:val="24"/>
        </w:rPr>
        <w:t xml:space="preserve">3. Заемщик через Исполнительное агентство Проекта может назначить агента по закупкам для осуществления закупок, транспортных и логистических услуг «под ключ», в отношении правомочных/вакцин и вспомогательных товаров в соответствии с условиями и положениями, изложенными в Плане закупок. Заемщик через Исполнительное агентство Проекта должен обеспечить, чтобы такой агент по закупкам выполнял все требования настоящего Кредитного соглашения, Соглашения о предоставлении гранта (в той мере, в какой это применимо) и Плана закупок</w:t>
      </w:r>
    </w:p>
    <w:p>
      <w:pPr>
        <w:spacing w:after="120"/>
        <w:jc w:val="both"/>
      </w:pPr>
      <w:r>
        <w:rPr>
          <w:rFonts w:ascii="Arial" w:cs="Arial" w:eastAsia="Arial" w:hAnsi="Arial"/>
          <w:sz w:val="24"/>
          <w:szCs w:val="24"/>
        </w:rPr>
        <w:t xml:space="preserve">Защитные меры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 Заемщик через Исполнительное агентство Проекта должен обеспечить, чтобы Проект не оказывал никакого воздействия на окружающую среду, коренные народы или принудительное переселение, все в рамках ПЗМ. В случае, если Проект окажет какое-либо такое влияние, Заемщик должен предпринять все необходимые шаги для обеспечения того, чтобы Проект соответствовал применимым законам и правилам Заемщика и ПЗМ</w:t>
      </w:r>
    </w:p>
    <w:p>
      <w:pPr>
        <w:spacing w:after="120"/>
        <w:jc w:val="both"/>
      </w:pPr>
      <w:r>
        <w:rPr>
          <w:rFonts w:ascii="Arial" w:cs="Arial" w:eastAsia="Arial" w:hAnsi="Arial"/>
          <w:sz w:val="24"/>
          <w:szCs w:val="24"/>
        </w:rPr>
        <w:t xml:space="preserve">Список запрещенных инвестиций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Заемщик должен гарантировать, что поступления от кредита или гранта не будут использоваться для финансирования любой деятельности, включенной в список запрещенных инвестиционных видов деятельности, приведенный в Приложении 5 к ПЗМ.</w:t>
      </w:r>
    </w:p>
    <w:p>
      <w:pPr>
        <w:spacing w:after="120"/>
        <w:jc w:val="both"/>
      </w:pPr>
      <w:r>
        <w:rPr>
          <w:rFonts w:ascii="Arial" w:cs="Arial" w:eastAsia="Arial" w:hAnsi="Arial"/>
          <w:sz w:val="24"/>
          <w:szCs w:val="24"/>
        </w:rPr>
        <w:t xml:space="preserve">Выбор вакцин, План распреде</w:t>
      </w:r>
      <w:r>
        <w:rPr>
          <w:rFonts w:ascii="Arial" w:cs="Arial" w:eastAsia="Arial" w:hAnsi="Arial"/>
          <w:sz w:val="24"/>
          <w:szCs w:val="24"/>
        </w:rPr>
        <w:t xml:space="preserve">л</w:t>
      </w:r>
      <w:r>
        <w:rPr>
          <w:rFonts w:ascii="Arial" w:cs="Arial" w:eastAsia="Arial" w:hAnsi="Arial"/>
          <w:sz w:val="24"/>
          <w:szCs w:val="24"/>
        </w:rPr>
        <w:t xml:space="preserve">ения вакцин </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Заемщик: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заявляет, что провел собственную должную проверку и самостоятельно определил качество, безопасность и эффективность правомочных вакцин, которые будут закупаться и/или транспортироваться в рамках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должен обеспечить, чтобы поступления от кредита и гранта, выделенные на финансирование вакцин, должны использоваться только для закупки, транспортировки, распространения или администрирования той вакцины, которая была подтверждена АБР в качестве правомочной вакцины;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берет на себя исключительную ответственность за отбор, импорт, закупку, транспортировку, распространение, маркетинг или администрирование любой правомочной вакцины в рамках Проекта и соглашается с тем, что АБР не несет ответственности или обязательств в отношении нее;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обеспечивает, чтобы развертывание, распределение и администрирование правомочных вакцин осуществлялись в соответствии с Планом распределения вакцин;</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e</w:t>
      </w:r>
      <w:r>
        <w:rPr>
          <w:rFonts w:ascii="Arial" w:cs="Arial" w:eastAsia="Arial" w:hAnsi="Arial"/>
          <w:sz w:val="24"/>
          <w:szCs w:val="24"/>
        </w:rPr>
        <w:t xml:space="preserve">) должен (i) информировать и обмениваться мнениями с АБР о любых изменениях   в   Плане   распределения   вакцинации   и любых обсуждениях секторальных. правовых, нормативных или программных реформ, которые могут быть проведены с другими двусторонними или многосторонними учреждениями, которые могут повлиять на внедрение, распространение и администрирование правомочных вакцин, (ii) предоставить АБР разумную возможность прокомментировать любое полученное в результате программное предложение.</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 В тех случаях, когда любая вакцина против COVID-19, по которой АБР не подтвердил, что она является правомочной вакциной, предлагается для закупки и/или транспортировки в рамках Проекта после первоначального снятия средств с кредитного счета и/или с грантового счета для любой правомочной вакцины, Заемщик должен обеспечить, чтобы не было сделано запроса на снятие средств с кредитного счета или со счета грзнта в отношении такой вакцины до тех пор, пока:</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АБР ни получил письмо от Заемщика, подтверждающее (i), какой из критериев правомочности был удовлетворен в отношении такой вакцины; (ii) что такая вакцина получила все необходимые разрешения Заемщика и была одобрена ДЛСиМИ и любыми другими соответствующими регулирующими органами для распределения и администрирования на территории Заемщика;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основываясь на информации, представленной в вышеупомянутом письме, АБР ни уведомил Заемщика о том, что такая вакцина определена в качестве правомочной вакцины.</w:t>
      </w:r>
    </w:p>
    <w:p>
      <w:pPr>
        <w:spacing w:after="120"/>
        <w:jc w:val="both"/>
      </w:pPr>
      <w:r>
        <w:rPr>
          <w:rFonts w:ascii="Arial" w:cs="Arial" w:eastAsia="Arial" w:hAnsi="Arial"/>
          <w:sz w:val="24"/>
          <w:szCs w:val="24"/>
        </w:rPr>
        <w:t xml:space="preserve">Соблюдение местных законов</w:t>
      </w:r>
    </w:p>
    <w:p>
      <w:pPr>
        <w:spacing w:after="120"/>
        <w:jc w:val="both"/>
      </w:pPr>
      <w:r>
        <w:rPr>
          <w:rFonts w:ascii="Arial" w:cs="Arial" w:eastAsia="Arial" w:hAnsi="Arial"/>
          <w:sz w:val="24"/>
          <w:szCs w:val="24"/>
        </w:rPr>
        <w:t xml:space="preserve">8. Заемщик должен обеспечить, чтобы отбор, импорт, закупка, транспортировка, развертывание, распространение, маркетинг, администрирование и утилизация любой правомочной вакцины проводились в соответствии с применимыми законами и нормативно-правовыми актами Заемщика</w:t>
      </w:r>
    </w:p>
    <w:p>
      <w:pPr>
        <w:spacing w:after="120"/>
        <w:jc w:val="both"/>
      </w:pPr>
      <w:r>
        <w:rPr>
          <w:rFonts w:ascii="Arial" w:cs="Arial" w:eastAsia="Arial" w:hAnsi="Arial"/>
          <w:sz w:val="24"/>
          <w:szCs w:val="24"/>
        </w:rPr>
        <w:t xml:space="preserve">9. Заемщик, через ДЛСиМИ и любые другие соответствующие регулирующие органы, должен незамедлительно предпринять все такие шаги, которые могут потребоваться для содействия продолжающейся авторизации правомочных вакцин для распространения и администрирования на территории Заемщика, в том числе путем оперативной выдачи или продления всех необходимых разрешений, при условии, что по-прежнему соблюдаются необходимые требования к качеству, безопасности, эффективности и другим правовым требованиям дпя авторизации. Заемщик должен незамедлительно информировать АБР о любом событии или обстоятельстве, которые могут возникнуть и предотвратить, затруднить, задержать или поставить условия для такой продолжающейся авторизации.</w:t>
      </w:r>
    </w:p>
    <w:p>
      <w:pPr>
        <w:spacing w:after="120"/>
        <w:jc w:val="both"/>
      </w:pPr>
      <w:r>
        <w:rPr>
          <w:rFonts w:ascii="Arial" w:cs="Arial" w:eastAsia="Arial" w:hAnsi="Arial"/>
          <w:sz w:val="24"/>
          <w:szCs w:val="24"/>
        </w:rPr>
        <w:t xml:space="preserve">Хранение, транспортировка вакцин и обращение с отходами</w:t>
      </w:r>
    </w:p>
    <w:p>
      <w:pPr>
        <w:spacing w:after="120"/>
        <w:jc w:val="both"/>
      </w:pPr>
      <w:r>
        <w:rPr>
          <w:rFonts w:ascii="Arial" w:cs="Arial" w:eastAsia="Arial" w:hAnsi="Arial"/>
          <w:sz w:val="24"/>
          <w:szCs w:val="24"/>
        </w:rPr>
        <w:t xml:space="preserve">10.            Заемщик через Исполнительное агентство Проекта должен обеспечить, чтобы: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Правомочные вакцины надлежащим образом хранились, транспортировались, и чтобы с ними должным образом обращались на территории Заемщика в целях сохранения их качества, эффективности и безопасности в соответствии с требованиями соответствующих производителей вакцин, применимыми законами и нормативно-правовыми актами Заемщика и в соответствии с передовой международной практикой, включая рамку эффективного управления вакцинами Всемирной организации здравоохранения и Детского фонда Организации Объединенных Наций (ЮНИСЕФ);</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С любыми медицинскими или другими отходами, образующимися в связи с хранением, транспортировкой, распределением или администрированием правомочных вакцин и связанного с ними медицинского оборудования, необходимо обращаться должным образом в соответствии с ПОМО, v необходимо должным образом их обрабатывать и утилизировать</w:t>
      </w:r>
    </w:p>
    <w:p>
      <w:pPr>
        <w:spacing w:after="120"/>
        <w:jc w:val="both"/>
      </w:pPr>
      <w:r>
        <w:rPr>
          <w:rFonts w:ascii="Arial" w:cs="Arial" w:eastAsia="Arial" w:hAnsi="Arial"/>
          <w:sz w:val="24"/>
          <w:szCs w:val="24"/>
        </w:rPr>
        <w:t xml:space="preserve">Ограничение ответственности</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Заемщик признает и соглашается с тем, что:</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подтверждение АБР какой-либо вакцины в качестве правомочной вакцины не означает одобрения или гарантии пригодности такой вакцины со стороны АБР для какой-либо конкретной цели, в том числе в отношении ее качества, безопасности или результативности, и Заемщик несет исключительную ответственность за разрешение на использование любых правомочных вакцин для распространения и администрирования на территории Заемщика, включая, но не ограничиваясь мониторингом качества по всей цепочке поставок, соблюдением применимых руководящих принципов по лечению и применением мер по мониторингу и устранению неблагоприятных реакций;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АБР отказывается от любой финансовой или иной ответственности и обязательств за любые травмы, смерть, потерю, ущерб или другие предубеждения любого рода, которые могут возникнуть в результате или в связи с выбором, закупкой, импортом, производством, заполнением, транспортировкой, распространением, маркетингом, администрированием или использованием любой вакцины в рамках Проекта или в связи с утилизацией и обращением с любыми медицинскими или другими отходами, образующимися в связи с хранением, обращением, транспортировкой, распространением или администрированием любой такой вакцины.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12. </w:t>
      </w:r>
      <w:r>
        <w:rPr>
          <w:rFonts w:ascii="Arial" w:cs="Arial" w:eastAsia="Arial" w:hAnsi="Arial"/>
          <w:sz w:val="24"/>
          <w:szCs w:val="24"/>
        </w:rPr>
        <w:t xml:space="preserve">Заемщик должен обеспечить, чтобы (а) ГПД был выполнен в соответствии с его условиями, (Ь) конкурсная документация и контракты включали соответствующие положения о том, чтобы подрядчики соблюдали меры, изложенные в ГПД; (с) для выполнения ГПД выделяются достаточные ресурсы; (d) прогресс в выполнении ГПД, включая прогресс в достижении ключевых тендерных результатов и целевых показателей, является предметом регулярного мониторинга, и о его результатах сообщается в АБР</w:t>
      </w:r>
    </w:p>
    <w:p>
      <w:pPr>
        <w:spacing w:after="120"/>
        <w:jc w:val="both"/>
      </w:pPr>
      <w:r>
        <w:rPr>
          <w:rFonts w:ascii="Arial" w:cs="Arial" w:eastAsia="Arial" w:hAnsi="Arial"/>
          <w:sz w:val="24"/>
          <w:szCs w:val="24"/>
        </w:rPr>
        <w:t xml:space="preserve">Параллельная партнерская поддержка</w:t>
      </w:r>
    </w:p>
    <w:p>
      <w:pPr>
        <w:spacing w:after="120"/>
        <w:jc w:val="both"/>
      </w:pPr>
      <w:r>
        <w:rPr>
          <w:rFonts w:ascii="Arial" w:cs="Arial" w:eastAsia="Arial" w:hAnsi="Arial"/>
          <w:sz w:val="24"/>
          <w:szCs w:val="24"/>
        </w:rPr>
        <w:t xml:space="preserve">13. Заемщик должен обеспечить, чтобы были выделены соответствующие бюджетные ассигнования, и чтобы Исполнительному агентству Проекта и/или любому агенту по закупкам были своевременно предоставлены достаточные параллельные партнерские средства, необходимые для успешной реализации Проекта. В дополнение к вышесказанному Заемщик должен обеспечить, чтобы у Исполнительного агентства Проекта было достаточно средств для выполнения своих обязательств, вытекающих из любого контракта на поставку товаров и услуг.</w:t>
      </w:r>
    </w:p>
    <w:p>
      <w:pPr>
        <w:spacing w:after="120"/>
        <w:jc w:val="both"/>
      </w:pPr>
      <w:r>
        <w:rPr>
          <w:rFonts w:ascii="Arial" w:cs="Arial" w:eastAsia="Arial" w:hAnsi="Arial"/>
          <w:sz w:val="24"/>
          <w:szCs w:val="24"/>
        </w:rPr>
        <w:t xml:space="preserve">Трудовые нормы, охрана труда и техника безопасности</w:t>
      </w:r>
    </w:p>
    <w:p>
      <w:pPr>
        <w:spacing w:after="120"/>
        <w:jc w:val="both"/>
      </w:pPr>
      <w:r>
        <w:rPr>
          <w:rFonts w:ascii="Arial" w:cs="Arial" w:eastAsia="Arial" w:hAnsi="Arial"/>
          <w:sz w:val="24"/>
          <w:szCs w:val="24"/>
        </w:rPr>
        <w:t xml:space="preserve">14. Заемщик через Исполнительное агентство Проекта должен обеспечить соблюдение основных трудовых стандартов и применимых законов и нормативных актов Заемщика во время реализации Проекта. Заемщик через Исполнительное агентство Проекта должен включить конкретные положения в тендерную документацию и контракты, финансируемые АБР в рамках Проекта, требующие, чтобы подрядчики, среди прочего; (а) соблюдали соответствующие трудовые законы и правила Заемщика и учитывали применимые нормы безопасности труда на рабочем месте; (б) не использовали детский труд; (в) не допускали дискриминации (d) не использовали принудительный труд; (е) допускали свободу ассоциации и признавали право на ведение коллективных переговоров.</w:t>
      </w:r>
    </w:p>
    <w:p>
      <w:pPr>
        <w:spacing w:after="120"/>
        <w:jc w:val="both"/>
      </w:pPr>
      <w:r>
        <w:rPr>
          <w:rFonts w:ascii="Arial" w:cs="Arial" w:eastAsia="Arial" w:hAnsi="Arial"/>
          <w:sz w:val="24"/>
          <w:szCs w:val="24"/>
        </w:rPr>
        <w:t xml:space="preserve">15. Заемщик через Исполнительное агентство Проекта должен строго контролировать соблюдение требований,</w:t>
      </w:r>
      <w:r>
        <w:rPr>
          <w:rFonts w:ascii="Arial" w:cs="Arial" w:eastAsia="Arial" w:hAnsi="Arial"/>
          <w:sz w:val="24"/>
          <w:szCs w:val="24"/>
        </w:rPr>
        <w:t xml:space="preserve"> изложенных в пункте 14 выше, и предоставлять АБР регулярные отчеты.</w:t>
      </w:r>
    </w:p>
    <w:p>
      <w:pPr>
        <w:spacing w:after="120"/>
        <w:jc w:val="both"/>
      </w:pPr>
      <w:r>
        <w:rPr>
          <w:rFonts w:ascii="Arial" w:cs="Arial" w:eastAsia="Arial" w:hAnsi="Arial"/>
          <w:sz w:val="24"/>
          <w:szCs w:val="24"/>
        </w:rPr>
        <w:t xml:space="preserve">Финансовое управление</w:t>
      </w:r>
    </w:p>
    <w:p>
      <w:pPr>
        <w:spacing w:after="120"/>
        <w:jc w:val="both"/>
      </w:pPr>
      <w:r>
        <w:rPr>
          <w:rFonts w:ascii="Arial" w:cs="Arial" w:eastAsia="Arial" w:hAnsi="Arial"/>
          <w:sz w:val="24"/>
          <w:szCs w:val="24"/>
        </w:rPr>
        <w:t xml:space="preserve">16. Заемщик должен обеспечить, чтобы (i) адекватные системы финансового управления для ведения, контроля, учета, отчетности и аудита расходов на вакцинацию приоритетного населения в соответствии с Национальным планом распределения вакцинации поддерживались на протяжении всей реализации Проекта; (ii) План действий по финансовому управлению, в котором изложены конкретные действия с оговоренными сроками, как резюмировано в РУП, осуществлялся в соответствии с его условиями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Специальный аудит деятельности</w:t>
      </w:r>
    </w:p>
    <w:p>
      <w:pPr>
        <w:spacing w:after="120"/>
        <w:jc w:val="both"/>
      </w:pPr>
      <w:r>
        <w:rPr>
          <w:rFonts w:ascii="Arial" w:cs="Arial" w:eastAsia="Arial" w:hAnsi="Arial"/>
          <w:sz w:val="24"/>
          <w:szCs w:val="24"/>
        </w:rPr>
        <w:t xml:space="preserve">17 Для обеспечения содействия экономическому, эффективному и действенному управлению в рамках Проекта, Заемщик, в рамках выполнения Проекта, должен обеспечить привлечение независимого аудитора для проведения аудита деятепьности, уделяя особое внимание экономии, эффективности и результативности Проекта, и обеспечить, чтобы Исполнительное агентство Проекта предоставляло необходимые отчеты и информацию, которые могут потребоваться для такого аудита.</w:t>
      </w:r>
    </w:p>
    <w:p>
      <w:pPr>
        <w:spacing w:after="120"/>
        <w:jc w:val="both"/>
      </w:pPr>
      <w:r>
        <w:rPr>
          <w:rFonts w:ascii="Arial" w:cs="Arial" w:eastAsia="Arial" w:hAnsi="Arial"/>
          <w:sz w:val="24"/>
          <w:szCs w:val="24"/>
        </w:rPr>
        <w:t xml:space="preserve">18.            Такой аудит должен проводиться ежегодно, и Заемщик через Исполнительное агентство Проекта должен представить АБР отчет о таком аудите в течение 6 месяцев после окончания финансового года.</w:t>
      </w:r>
    </w:p>
    <w:p>
      <w:pPr>
        <w:spacing w:after="120"/>
        <w:jc w:val="both"/>
      </w:pPr>
      <w:r>
        <w:rPr>
          <w:rFonts w:ascii="Arial" w:cs="Arial" w:eastAsia="Arial" w:hAnsi="Arial"/>
          <w:sz w:val="24"/>
          <w:szCs w:val="24"/>
        </w:rPr>
        <w:t xml:space="preserve">Вопросы добросовестного управления и борьбы с коррупцией</w:t>
      </w:r>
    </w:p>
    <w:p>
      <w:pPr>
        <w:spacing w:after="120"/>
        <w:jc w:val="both"/>
      </w:pPr>
      <w:r>
        <w:rPr>
          <w:rFonts w:ascii="Arial" w:cs="Arial" w:eastAsia="Arial" w:hAnsi="Arial"/>
          <w:sz w:val="24"/>
          <w:szCs w:val="24"/>
        </w:rPr>
        <w:t xml:space="preserve">19. Заемщик, Исполнительное агентство Проекта и реализующие агентства обязаны (а) соблюдать антикоррупционную политику АБР (1998г., с имеющимися на сегодняшний день изменениями) и признать, что АБР оставляет за собой право расследовать непосредственно, или через своих агентов, любое инкриминируемое проявление коррупции, мошенничества, сговора или принуждения, или другие проявления нарушения неподкупности, связанные с проектом; (в) сотрудничать в рамках такого расследования и оказывать всю необходимую помощь для успешного завершения такого расследования.</w:t>
      </w:r>
    </w:p>
    <w:p>
      <w:pPr>
        <w:spacing w:after="120"/>
        <w:jc w:val="both"/>
      </w:pPr>
      <w:r>
        <w:rPr>
          <w:rFonts w:ascii="Arial" w:cs="Arial" w:eastAsia="Arial" w:hAnsi="Arial"/>
          <w:sz w:val="24"/>
          <w:szCs w:val="24"/>
        </w:rPr>
        <w:t xml:space="preserve">20. Заемщик, Исполнительное агентство Проекта и реализующие агентства должны обеспечить, чтобы положения о борьбе с коррупцией, приемлемые для АБР, были включены во все тендерные документы и контракты, включая положения, определяющие право АБР на аудит и проверку учетных записей и счетов исполнительных агентств и всех подрядчиков, поставщиков, консультантов и других провайдеров услуг, имеющих отношение к Проекту. Фирмы или физические лица, которые отстранены или временно отстранены АБР, не имеют права участвовать в финансируемой, управляемой или поддерживаемой АБР деятельности</w:t>
      </w:r>
    </w:p>
    <w:p>
      <w:pPr>
        <w:spacing w:after="58" w:before="36"/>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СОГЛАСОВАННЫЙ ВАРИАНТ </w:t>
      </w:r>
      <w:r>
        <w:rPr>
          <w:rFonts w:ascii="Arial" w:cs="Arial" w:eastAsia="Arial" w:hAnsi="Arial"/>
          <w:sz w:val="24"/>
          <w:szCs w:val="24"/>
        </w:rPr>
        <w:t xml:space="preserve">П</w:t>
      </w:r>
      <w:r>
        <w:rPr>
          <w:rFonts w:ascii="Arial" w:cs="Arial" w:eastAsia="Arial" w:hAnsi="Arial"/>
          <w:sz w:val="24"/>
          <w:szCs w:val="24"/>
        </w:rPr>
        <w:t xml:space="preserve">О ИТОГАМ ПЕРЕГОВОРОВ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ГРАНТА</w:t>
      </w:r>
      <w:r>
        <w:rPr>
          <w:rFonts w:ascii="Arial" w:cs="Arial" w:eastAsia="Arial" w:hAnsi="Arial"/>
          <w:sz w:val="24"/>
          <w:szCs w:val="24"/>
        </w:rPr>
        <w:t xml:space="preserve">____</w:t>
      </w:r>
      <w:r>
        <w:rPr>
          <w:rFonts w:ascii="Arial" w:cs="Arial" w:eastAsia="Arial" w:hAnsi="Arial"/>
          <w:sz w:val="24"/>
          <w:szCs w:val="24"/>
        </w:rPr>
        <w:t xml:space="preserve"> -KGZ(SF)</w:t>
      </w:r>
    </w:p>
    <w:p>
      <w:pPr>
        <w:spacing w:after="120"/>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ГРАНТОВОЕ СОГЛАШЕНИЕ</w:t>
      </w:r>
    </w:p>
    <w:p>
      <w:pPr>
        <w:spacing w:after="120"/>
        <w:jc w:val="center"/>
      </w:pPr>
      <w:r>
        <w:rPr>
          <w:rFonts w:ascii="Arial" w:cs="Arial" w:eastAsia="Arial" w:hAnsi="Arial"/>
          <w:sz w:val="24"/>
          <w:szCs w:val="24"/>
        </w:rPr>
        <w:t xml:space="preserve"> (Специальные операции)</w:t>
      </w:r>
    </w:p>
    <w:p>
      <w:pPr>
        <w:spacing w:after="120"/>
        <w:jc w:val="center"/>
      </w:pPr>
      <w:r>
        <w:rPr>
          <w:rFonts w:ascii="Arial" w:cs="Arial" w:eastAsia="Arial" w:hAnsi="Arial"/>
          <w:sz w:val="24"/>
          <w:szCs w:val="24"/>
        </w:rPr>
        <w:t xml:space="preserve">(Проект поддержки вакцинации против COVID-19 в рамках механизма</w:t>
      </w:r>
    </w:p>
    <w:p>
      <w:pPr>
        <w:spacing w:after="120"/>
        <w:jc w:val="center"/>
      </w:pPr>
      <w:r>
        <w:rPr>
          <w:rFonts w:ascii="Arial" w:cs="Arial" w:eastAsia="Arial" w:hAnsi="Arial"/>
          <w:sz w:val="24"/>
          <w:szCs w:val="24"/>
        </w:rPr>
        <w:t xml:space="preserve">доступа к вакцинам в Азиатско-Тихоокеанском регионе)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между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КЫРГЫЗСКОЙ РЕСПУБЛИКОЙ</w:t>
      </w:r>
    </w:p>
    <w:p>
      <w:pPr>
        <w:spacing w:after="120"/>
        <w:jc w:val="center"/>
      </w:pP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АЗИАТСКИМ БАНКОМ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ДАТИРОВАНО</w:t>
      </w:r>
      <w:r>
        <w:rPr>
          <w:rFonts w:ascii="Arial" w:cs="Arial" w:eastAsia="Arial" w:hAnsi="Arial"/>
          <w:sz w:val="24"/>
          <w:szCs w:val="24"/>
        </w:rPr>
        <w:t xml:space="preserve">____________________________________</w:t>
      </w:r>
      <w:r>
        <w:rPr>
          <w:rFonts w:ascii="Arial" w:cs="Arial" w:eastAsia="Arial" w:hAnsi="Arial"/>
          <w:sz w:val="24"/>
          <w:szCs w:val="24"/>
        </w:rPr>
        <w:t xml:space="preserve">  2021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КГЗ</w:t>
      </w:r>
      <w:r>
        <w:rPr>
          <w:rFonts w:ascii="Arial" w:cs="Arial" w:eastAsia="Arial" w:hAnsi="Arial"/>
          <w:sz w:val="24"/>
          <w:szCs w:val="24"/>
        </w:rPr>
        <w:t xml:space="preserve">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ГРАНТОВОЕ СОГЛАШЕНИЕ </w:t>
      </w:r>
    </w:p>
    <w:p>
      <w:pPr>
        <w:spacing w:after="240" w:before="200"/>
        <w:jc w:val="center"/>
      </w:pPr>
      <w:r>
        <w:rPr>
          <w:rFonts w:ascii="Arial" w:cs="Arial" w:eastAsia="Arial" w:hAnsi="Arial"/>
          <w:b/>
          <w:bCs/>
          <w:sz w:val="32"/>
          <w:szCs w:val="32"/>
        </w:rPr>
        <w:t xml:space="preserve">(Специальные операции)</w:t>
      </w:r>
    </w:p>
    <w:p>
      <w:pPr>
        <w:spacing w:after="120"/>
        <w:jc w:val="both"/>
      </w:pPr>
      <w:r>
        <w:rPr>
          <w:rFonts w:ascii="Arial" w:cs="Arial" w:eastAsia="Arial" w:hAnsi="Arial"/>
          <w:sz w:val="24"/>
          <w:szCs w:val="24"/>
        </w:rPr>
        <w:t xml:space="preserve">ГРАНТОВОЕ   СОГЛАШЕНИЕ   от  2021г.</w:t>
      </w:r>
    </w:p>
    <w:p>
      <w:pPr>
        <w:spacing w:after="120"/>
        <w:jc w:val="both"/>
      </w:pPr>
      <w:r>
        <w:rPr>
          <w:rFonts w:ascii="Arial" w:cs="Arial" w:eastAsia="Arial" w:hAnsi="Arial"/>
          <w:sz w:val="24"/>
          <w:szCs w:val="24"/>
        </w:rPr>
        <w:t xml:space="preserve">между КЫРГЫЗСКОЙ РЕСПУБЛИКОЙ («Получатель») и АЗИАТСКИМ БАНКОМ РАЗВИТИЯ («АБР»).</w:t>
      </w:r>
    </w:p>
    <w:p>
      <w:pPr>
        <w:spacing w:after="120"/>
        <w:jc w:val="both"/>
      </w:pPr>
      <w:r>
        <w:rPr>
          <w:rFonts w:ascii="Arial" w:cs="Arial" w:eastAsia="Arial" w:hAnsi="Arial"/>
          <w:sz w:val="24"/>
          <w:szCs w:val="24"/>
        </w:rPr>
        <w:t xml:space="preserve">ПОСКОЛЬКУ</w:t>
      </w:r>
    </w:p>
    <w:p>
      <w:pPr>
        <w:spacing w:after="120"/>
        <w:jc w:val="both"/>
      </w:pPr>
      <w:r>
        <w:rPr>
          <w:rFonts w:ascii="Arial" w:cs="Arial" w:eastAsia="Arial" w:hAnsi="Arial"/>
          <w:sz w:val="24"/>
          <w:szCs w:val="24"/>
        </w:rPr>
        <w:t xml:space="preserve">(A) АБР получил от Получателя письмо управляющего, датированное</w:t>
      </w:r>
      <w:r>
        <w:rPr>
          <w:rFonts w:ascii="Arial" w:cs="Arial" w:eastAsia="Arial" w:hAnsi="Arial"/>
          <w:sz w:val="24"/>
          <w:szCs w:val="24"/>
        </w:rPr>
        <w:t xml:space="preserve"> _________ </w:t>
      </w:r>
      <w:r>
        <w:rPr>
          <w:rFonts w:ascii="Arial" w:cs="Arial" w:eastAsia="Arial" w:hAnsi="Arial"/>
          <w:sz w:val="24"/>
          <w:szCs w:val="24"/>
        </w:rPr>
        <w:t xml:space="preserve">(«Письмо   управляющего»),   в   котором подтверждается обязательство Получателя выполнить свой План по распределению вакцинации (как определено в Кредитном соглашении) и излагаются определенные цели, политика и действия Заемщика, направленные на обеспечение доступа на его территории к вакцинам от коронавирусной инфекции («COVID-19»);</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Получатель подал заявку в АБР на получение гранта для целей Проекта, описанного в Приложении 1 к Кредитному соглашению;</w:t>
      </w:r>
    </w:p>
    <w:p>
      <w:pPr>
        <w:spacing w:after="120"/>
        <w:jc w:val="both"/>
      </w:pPr>
      <w:r>
        <w:rPr>
          <w:rFonts w:ascii="Arial" w:cs="Arial" w:eastAsia="Arial" w:hAnsi="Arial"/>
          <w:sz w:val="24"/>
          <w:szCs w:val="24"/>
        </w:rPr>
        <w:t xml:space="preserve">(С) </w:t>
      </w:r>
      <w:r>
        <w:rPr>
          <w:rFonts w:ascii="Arial" w:cs="Arial" w:eastAsia="Arial" w:hAnsi="Arial"/>
          <w:sz w:val="24"/>
          <w:szCs w:val="24"/>
        </w:rPr>
        <w:t xml:space="preserve">в рамках Кредитного соглашения между Получателем и АБР, датированного тем же числом, («Кредитное соглашение»), АБР согласился предоставить Получателю кредит из обычных капитальных ресурсов АБР на льготных условиях в размере двенадцати миллионов пятисот тысяч долларов (12 500 000 долларов США) («Кредит») для целей Проекта, описанных в Приложении 1 к Кредитному соглашению («Проект»); [Перевод этого пункта на русский язык подлежит исправлению]</w:t>
      </w:r>
    </w:p>
    <w:p>
      <w:pPr>
        <w:spacing w:after="120"/>
        <w:jc w:val="both"/>
      </w:pPr>
      <w:r>
        <w:rPr>
          <w:rFonts w:ascii="Arial" w:cs="Arial" w:eastAsia="Arial" w:hAnsi="Arial"/>
          <w:sz w:val="24"/>
          <w:szCs w:val="24"/>
        </w:rPr>
        <w:t xml:space="preserve">(D) АБР согласился предоставить грант Получателю из средств специальных фондов АБР на срок и на условиях, изложенных в настоящем документе;</w:t>
      </w:r>
    </w:p>
    <w:p>
      <w:pPr>
        <w:spacing w:after="120"/>
        <w:jc w:val="both"/>
      </w:pPr>
      <w:r>
        <w:rPr>
          <w:rFonts w:ascii="Arial" w:cs="Arial" w:eastAsia="Arial" w:hAnsi="Arial"/>
          <w:sz w:val="24"/>
          <w:szCs w:val="24"/>
        </w:rPr>
        <w:t xml:space="preserve">ТАКИМ ОБРАЗОМ В НАСТОЯЩЕЕ ВРЕМЯ стороны договариваются о 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w:t>
      </w:r>
    </w:p>
    <w:p>
      <w:pPr>
        <w:spacing w:after="120" w:before="4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грантах; Определении</w:t>
      </w:r>
    </w:p>
    <w:p>
      <w:pPr>
        <w:spacing w:after="120"/>
        <w:jc w:val="both"/>
      </w:pPr>
      <w:r>
        <w:rPr>
          <w:rFonts w:ascii="Arial" w:cs="Arial" w:eastAsia="Arial" w:hAnsi="Arial"/>
          <w:sz w:val="24"/>
          <w:szCs w:val="24"/>
        </w:rPr>
        <w:t xml:space="preserve">Раздел 1.01. Все пункты Положения о грантах на специальные операции АБР от 1 января 2017 года («Положение о грантах») настоящим применяются к данному Грантовому соглашению с такой же силой и действием, как если бы они были полностью изложены в настоящем документе:</w:t>
      </w:r>
    </w:p>
    <w:p>
      <w:pPr>
        <w:spacing w:after="120"/>
        <w:jc w:val="both"/>
      </w:pPr>
      <w:r>
        <w:rPr>
          <w:rFonts w:ascii="Arial" w:cs="Arial" w:eastAsia="Arial" w:hAnsi="Arial"/>
          <w:sz w:val="24"/>
          <w:szCs w:val="24"/>
        </w:rPr>
        <w:t xml:space="preserve">Раздел 1.02. Везде, где в рамках настоящего Грантового соглашения используются некоторые термины, определенные в Положении о грантах и в Кредитном соглашении, они имеют соответствующие значения, изложенные в них, если только они не были изменены в настоящем документе или не требует иного в его контексте.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СТАТЬЯ </w:t>
      </w:r>
      <w:r>
        <w:rPr>
          <w:rFonts w:ascii="Arial" w:cs="Arial" w:eastAsia="Arial" w:hAnsi="Arial"/>
          <w:b/>
          <w:bCs/>
          <w:sz w:val="24"/>
          <w:szCs w:val="24"/>
        </w:rPr>
        <w:t xml:space="preserve">II </w:t>
      </w:r>
      <w:r>
        <w:rPr>
          <w:rFonts w:ascii="Arial" w:cs="Arial" w:eastAsia="Arial" w:hAnsi="Arial"/>
          <w:b/>
          <w:bCs/>
          <w:sz w:val="24"/>
          <w:szCs w:val="24"/>
        </w:rPr>
        <w:t xml:space="preserve"> Грант</w:t>
      </w:r>
    </w:p>
    <w:p>
      <w:pPr>
        <w:spacing w:after="120"/>
        <w:jc w:val="both"/>
      </w:pPr>
      <w:r>
        <w:rPr>
          <w:rFonts w:ascii="Arial" w:cs="Arial" w:eastAsia="Arial" w:hAnsi="Arial"/>
          <w:sz w:val="24"/>
          <w:szCs w:val="24"/>
        </w:rPr>
        <w:t xml:space="preserve">Раздел 2.01. АБР соглашается предоставить Получателю из средств Специальных фондов АБР сумму в размере двенадцати миллионов пятисот тысяч долларов (12 500 000 долларов США).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III Использование средств гранта</w:t>
      </w:r>
    </w:p>
    <w:p>
      <w:pPr>
        <w:spacing w:after="120"/>
        <w:jc w:val="both"/>
      </w:pPr>
      <w:r>
        <w:rPr>
          <w:rFonts w:ascii="Arial" w:cs="Arial" w:eastAsia="Arial" w:hAnsi="Arial"/>
          <w:sz w:val="24"/>
          <w:szCs w:val="24"/>
        </w:rPr>
        <w:t xml:space="preserve">Раздел 3.01. Получатель должен обеспечить, чтобы поступления средств гранта использовались исключительно для финансирования правомочных расходов в рамках Проекта в соответствии с положениями настоящего Грантового соглашения и Кредитного соглашения.</w:t>
      </w:r>
    </w:p>
    <w:p>
      <w:pPr>
        <w:spacing w:after="120"/>
        <w:jc w:val="both"/>
      </w:pPr>
      <w:r>
        <w:rPr>
          <w:rFonts w:ascii="Arial" w:cs="Arial" w:eastAsia="Arial" w:hAnsi="Arial"/>
          <w:sz w:val="24"/>
          <w:szCs w:val="24"/>
        </w:rPr>
        <w:t xml:space="preserve">Раздел 3.02. Поступления средств гранта распределяются и снимаются в соответствии с положениями Приложения к настоящему Грантовому соглашению, при этом такое Приложение может время от времени изменяться по соглашению между Получателем и АБР.</w:t>
      </w:r>
    </w:p>
    <w:p>
      <w:pPr>
        <w:spacing w:after="120"/>
        <w:jc w:val="both"/>
      </w:pPr>
      <w:r>
        <w:rPr>
          <w:rFonts w:ascii="Arial" w:cs="Arial" w:eastAsia="Arial" w:hAnsi="Arial"/>
          <w:sz w:val="24"/>
          <w:szCs w:val="24"/>
        </w:rPr>
        <w:t xml:space="preserve">Раздел 3.03. За исключением случаев, когда АБР может договориться об   ином,   Получатель   должен   закупать   или   обеспечить   закупки в соответствии со статьями расходов, которые будут финансироваться за счег поступлений средств гранта в соответствии с положениями Приложения 4 к Кредитному соглашению.</w:t>
      </w:r>
    </w:p>
    <w:p>
      <w:pPr>
        <w:spacing w:after="120"/>
        <w:jc w:val="both"/>
      </w:pPr>
      <w:r>
        <w:rPr>
          <w:rFonts w:ascii="Arial" w:cs="Arial" w:eastAsia="Arial" w:hAnsi="Arial"/>
          <w:sz w:val="24"/>
          <w:szCs w:val="24"/>
        </w:rPr>
        <w:t xml:space="preserve">Раздел 3.04. Датой закрытия гранта для целей Раздела 8.02 Положения о грантах является 31 декабря 2023 года или другая дата, которая может время от времени согласовываться между Получателем и АБР.</w:t>
      </w:r>
    </w:p>
    <w:p>
      <w:pPr>
        <w:spacing w:after="240" w:before="200"/>
        <w:jc w:val="center"/>
      </w:pPr>
      <w:r>
        <w:rPr>
          <w:rFonts w:ascii="Arial" w:cs="Arial" w:eastAsia="Arial" w:hAnsi="Arial"/>
          <w:b/>
          <w:bCs/>
          <w:sz w:val="32"/>
          <w:szCs w:val="32"/>
        </w:rPr>
        <w:t xml:space="preserve">СТАТЬЯ IV Особые условия</w:t>
      </w:r>
    </w:p>
    <w:p>
      <w:pPr>
        <w:spacing w:after="120"/>
        <w:jc w:val="both"/>
      </w:pPr>
      <w:r>
        <w:rPr>
          <w:rFonts w:ascii="Arial" w:cs="Arial" w:eastAsia="Arial" w:hAnsi="Arial"/>
          <w:sz w:val="24"/>
          <w:szCs w:val="24"/>
        </w:rPr>
        <w:t xml:space="preserve">Раздел 4.01. При осуществлении Проекта Получатель должен выполнить или обеспечить выполнение всех обязательств, изложенных в настоящем Граптовом соглашении и Приложении 4 к Кредитному Соглашению.</w:t>
      </w:r>
    </w:p>
    <w:p>
      <w:pPr>
        <w:spacing w:after="120"/>
        <w:jc w:val="both"/>
      </w:pPr>
      <w:r>
        <w:rPr>
          <w:rFonts w:ascii="Arial" w:cs="Arial" w:eastAsia="Arial" w:hAnsi="Arial"/>
          <w:sz w:val="24"/>
          <w:szCs w:val="24"/>
        </w:rPr>
        <w:t xml:space="preserve">Раздел 4.02. Получатель должен предоставить представителям АБР возможность проинспектировать Проект, товары, работы и услуги, а также любые соответствующие записи и документы.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Приостановление</w:t>
      </w:r>
    </w:p>
    <w:p>
      <w:pPr>
        <w:spacing w:after="120"/>
        <w:jc w:val="both"/>
      </w:pPr>
      <w:r>
        <w:rPr>
          <w:rFonts w:ascii="Arial" w:cs="Arial" w:eastAsia="Arial" w:hAnsi="Arial"/>
          <w:sz w:val="24"/>
          <w:szCs w:val="24"/>
        </w:rPr>
        <w:t xml:space="preserve">Раздел 5.01. В качестве дополнительного события для приостановления права Получателя на снятие средств с грантового счета для целей Раздела 8.01 (к) Положения о грантах, или для аннулирования гранта в соответствии с Разделом 8.02 Положения о грантах указано следующее: кредит подлежит приостановлению или аннулированию, или должен быть погашен до согласованной даты погашения.</w:t>
      </w:r>
    </w:p>
    <w:p>
      <w:pPr>
        <w:spacing w:after="240" w:before="200"/>
        <w:jc w:val="center"/>
      </w:pPr>
      <w:r>
        <w:rPr>
          <w:rFonts w:ascii="Arial" w:cs="Arial" w:eastAsia="Arial" w:hAnsi="Arial"/>
          <w:b/>
          <w:bCs/>
          <w:sz w:val="32"/>
          <w:szCs w:val="32"/>
        </w:rPr>
        <w:t xml:space="preserve">СТАТЬЯ VI</w:t>
      </w:r>
    </w:p>
    <w:p>
      <w:pPr>
        <w:spacing w:after="240" w:before="200"/>
        <w:jc w:val="center"/>
      </w:pPr>
      <w:r>
        <w:rPr>
          <w:rFonts w:ascii="Arial" w:cs="Arial" w:eastAsia="Arial" w:hAnsi="Arial"/>
          <w:b/>
          <w:bCs/>
          <w:sz w:val="32"/>
          <w:szCs w:val="32"/>
        </w:rPr>
        <w:t xml:space="preserve">Вступление в силу</w:t>
      </w:r>
    </w:p>
    <w:p>
      <w:pPr>
        <w:spacing w:after="120"/>
        <w:jc w:val="both"/>
      </w:pPr>
      <w:r>
        <w:rPr>
          <w:rFonts w:ascii="Arial" w:cs="Arial" w:eastAsia="Arial" w:hAnsi="Arial"/>
          <w:sz w:val="24"/>
          <w:szCs w:val="24"/>
        </w:rPr>
        <w:t xml:space="preserve">Раздел 6.01. Следующее указано в качестве дополнительного условия для вступления в силу настоящего Грантового соглашения для целей Раздела 9.01(e) Положения о грантах: Кредитное соглашение должно быть надлежащим  .образом   одобрено   или   ратифицировано Получателем, исполнено и доставлено от его имени, и все условия, предшествующие его вступлению в силу (кроме условия, требующего вступления в силу настоящего Грантового соглашения), должны быть выполнены.</w:t>
      </w:r>
    </w:p>
    <w:p>
      <w:pPr>
        <w:spacing w:after="120"/>
        <w:jc w:val="both"/>
      </w:pPr>
      <w:r>
        <w:rPr>
          <w:rFonts w:ascii="Arial" w:cs="Arial" w:eastAsia="Arial" w:hAnsi="Arial"/>
          <w:sz w:val="24"/>
          <w:szCs w:val="24"/>
        </w:rPr>
        <w:t xml:space="preserve">Раздел 6.02. Следующее указано в качестве дополнительного условия для целей Раздела 9.02(c) Положения о грантах, который должен быть включен в заключение или заключения, которые будут представлены АБР: то, что Кредитное соглашение должно быть должным образом одобрено или ратифицировано, исполнено и доставлено от имени Получателя и является юридически обязательным для Получателя в соответствии с его условиями, только при условии вступления в силу настоящего Грантового соглашения.</w:t>
      </w:r>
    </w:p>
    <w:p>
      <w:pPr>
        <w:spacing w:after="120"/>
        <w:jc w:val="both"/>
      </w:pPr>
      <w:r>
        <w:rPr>
          <w:rFonts w:ascii="Arial" w:cs="Arial" w:eastAsia="Arial" w:hAnsi="Arial"/>
          <w:sz w:val="24"/>
          <w:szCs w:val="24"/>
        </w:rPr>
        <w:t xml:space="preserve">Раздел 6.03. Дата через 90 дней после даты настоящего Грантового соглашения указывается как дата вступления в силу настоящего Грантового соглашения для целей раздела 9.04 Положения о грантах.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w:t>
      </w:r>
    </w:p>
    <w:p>
      <w:pPr>
        <w:spacing w:after="240" w:before="200"/>
        <w:jc w:val="center"/>
      </w:pPr>
      <w:r>
        <w:rPr>
          <w:rFonts w:ascii="Arial" w:cs="Arial" w:eastAsia="Arial" w:hAnsi="Arial"/>
          <w:b/>
          <w:bCs/>
          <w:sz w:val="32"/>
          <w:szCs w:val="32"/>
        </w:rPr>
        <w:t xml:space="preserve">Прекращение действия</w:t>
      </w:r>
    </w:p>
    <w:p>
      <w:pPr>
        <w:spacing w:after="120"/>
        <w:jc w:val="both"/>
      </w:pPr>
      <w:r>
        <w:rPr>
          <w:rFonts w:ascii="Arial" w:cs="Arial" w:eastAsia="Arial" w:hAnsi="Arial"/>
          <w:sz w:val="24"/>
          <w:szCs w:val="24"/>
        </w:rPr>
        <w:t xml:space="preserve">Раздел 7.01. Грантовое соглашение и все обязательства сторон по нему прекращаются в день, когда прекращается действие Кредитного соглашения, и оно перестает действовать.</w:t>
      </w:r>
    </w:p>
    <w:p>
      <w:pPr>
        <w:spacing w:after="240" w:before="200"/>
        <w:jc w:val="center"/>
      </w:pPr>
      <w:r>
        <w:rPr>
          <w:rFonts w:ascii="Arial" w:cs="Arial" w:eastAsia="Arial" w:hAnsi="Arial"/>
          <w:b/>
          <w:bCs/>
          <w:sz w:val="32"/>
          <w:szCs w:val="32"/>
        </w:rPr>
        <w:t xml:space="preserve">СТАТЬЯ VIII</w:t>
      </w:r>
    </w:p>
    <w:p>
      <w:pPr>
        <w:spacing w:after="120"/>
        <w:jc w:val="center"/>
      </w:pPr>
      <w:r>
        <w:rPr>
          <w:rFonts w:ascii="Arial" w:cs="Arial" w:eastAsia="Arial" w:hAnsi="Arial"/>
          <w:b/>
          <w:bCs/>
          <w:sz w:val="24"/>
          <w:szCs w:val="24"/>
        </w:rPr>
        <w:t xml:space="preserve">Разно</w:t>
      </w:r>
      <w:r>
        <w:rPr>
          <w:rFonts w:ascii="Arial" w:cs="Arial" w:eastAsia="Arial" w:hAnsi="Arial"/>
          <w:b/>
          <w:bCs/>
          <w:sz w:val="24"/>
          <w:szCs w:val="24"/>
        </w:rPr>
        <w:t xml:space="preserve">t</w:t>
      </w:r>
    </w:p>
    <w:p>
      <w:pPr>
        <w:spacing w:after="120"/>
        <w:jc w:val="both"/>
      </w:pPr>
      <w:r>
        <w:rPr>
          <w:rFonts w:ascii="Arial" w:cs="Arial" w:eastAsia="Arial" w:hAnsi="Arial"/>
          <w:sz w:val="24"/>
          <w:szCs w:val="24"/>
        </w:rPr>
        <w:t xml:space="preserve">Раздел 8.01. Министр экономики и финансов Получателя назначается представителем Получателя для целей Раздела 11.02 Положения о грантах.</w:t>
      </w:r>
    </w:p>
    <w:p>
      <w:pPr>
        <w:spacing w:after="120"/>
        <w:jc w:val="both"/>
      </w:pPr>
      <w:r>
        <w:rPr>
          <w:rFonts w:ascii="Arial" w:cs="Arial" w:eastAsia="Arial" w:hAnsi="Arial"/>
          <w:sz w:val="24"/>
          <w:szCs w:val="24"/>
        </w:rPr>
        <w:t xml:space="preserve">Раздел 8.02. Следующие адреса указаны для целей Раздела 11.01 Положения о грантах:</w:t>
      </w:r>
    </w:p>
    <w:p>
      <w:pPr>
        <w:spacing w:after="120"/>
        <w:jc w:val="both"/>
      </w:pPr>
      <w:r>
        <w:rPr>
          <w:rFonts w:ascii="Arial" w:cs="Arial" w:eastAsia="Arial" w:hAnsi="Arial"/>
          <w:sz w:val="24"/>
          <w:szCs w:val="24"/>
        </w:rPr>
        <w:t xml:space="preserve">За получателя</w:t>
      </w:r>
    </w:p>
    <w:p>
      <w:pPr>
        <w:spacing w:after="120"/>
        <w:jc w:val="both"/>
      </w:pPr>
      <w:r>
        <w:rPr>
          <w:rFonts w:ascii="Arial" w:cs="Arial" w:eastAsia="Arial" w:hAnsi="Arial"/>
          <w:sz w:val="24"/>
          <w:szCs w:val="24"/>
        </w:rPr>
        <w:t xml:space="preserve">Министерство экономики и финансов</w:t>
      </w:r>
    </w:p>
    <w:p>
      <w:pPr>
        <w:spacing w:after="120"/>
        <w:jc w:val="both"/>
      </w:pPr>
      <w:r>
        <w:rPr>
          <w:rFonts w:ascii="Arial" w:cs="Arial" w:eastAsia="Arial" w:hAnsi="Arial"/>
          <w:sz w:val="24"/>
          <w:szCs w:val="24"/>
        </w:rPr>
        <w:t xml:space="preserve">Бульвар Эркипдик 58 Бишкек 720002</w:t>
      </w:r>
    </w:p>
    <w:p>
      <w:pPr>
        <w:spacing w:after="120"/>
        <w:jc w:val="both"/>
      </w:pPr>
      <w:r>
        <w:rPr>
          <w:rFonts w:ascii="Arial" w:cs="Arial" w:eastAsia="Arial" w:hAnsi="Arial"/>
          <w:sz w:val="24"/>
          <w:szCs w:val="24"/>
        </w:rPr>
        <w:t xml:space="preserve">Номер факсимильной связи:</w:t>
      </w:r>
    </w:p>
    <w:p>
      <w:pPr>
        <w:spacing w:after="120"/>
        <w:jc w:val="both"/>
      </w:pPr>
      <w:r>
        <w:rPr>
          <w:rFonts w:ascii="Arial" w:cs="Arial" w:eastAsia="Arial" w:hAnsi="Arial"/>
          <w:sz w:val="24"/>
          <w:szCs w:val="24"/>
        </w:rPr>
        <w:t xml:space="preserve">996) 312 661645</w:t>
      </w:r>
    </w:p>
    <w:p>
      <w:pPr>
        <w:spacing w:after="120"/>
        <w:jc w:val="both"/>
      </w:pPr>
      <w:r>
        <w:rPr>
          <w:rFonts w:ascii="Arial" w:cs="Arial" w:eastAsia="Arial" w:hAnsi="Arial"/>
          <w:sz w:val="24"/>
          <w:szCs w:val="24"/>
        </w:rPr>
        <w:t xml:space="preserve">За АБР</w:t>
      </w:r>
    </w:p>
    <w:p>
      <w:pPr>
        <w:spacing w:after="120"/>
        <w:jc w:val="both"/>
      </w:pPr>
      <w:r>
        <w:rPr>
          <w:rFonts w:ascii="Arial" w:cs="Arial" w:eastAsia="Arial" w:hAnsi="Arial"/>
          <w:sz w:val="24"/>
          <w:szCs w:val="24"/>
        </w:rPr>
        <w:t xml:space="preserve">Азиатский банк развития 6 ADB Avenue Mandaluyong City 1550 Метро Манила Филиппины</w:t>
      </w:r>
    </w:p>
    <w:p>
      <w:pPr>
        <w:spacing w:after="120"/>
        <w:jc w:val="both"/>
      </w:pPr>
      <w:r>
        <w:rPr>
          <w:rFonts w:ascii="Arial" w:cs="Arial" w:eastAsia="Arial" w:hAnsi="Arial"/>
          <w:sz w:val="24"/>
          <w:szCs w:val="24"/>
        </w:rPr>
        <w:t xml:space="preserve">Номер факсимильной связи: (632) 8636-2444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НАСТОЯЩЕГО, Стороны данного Соглашения, действуя через своих представителей, должным образом уполномоченных на это, обязали подписать настоящее Грантовое соглашение от своего соответствующего имени на день и год, указанные выше, и доставить его в головной Офис АБР.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КЫРГЫЗСКАЯ РЕСПУБЛИКА</w:t>
      </w:r>
    </w:p>
    <w:p>
      <w:pPr>
        <w:spacing w:after="120"/>
        <w:jc w:val="center"/>
      </w:pPr>
      <w:r>
        <w:rPr>
          <w:rFonts w:ascii="Arial" w:cs="Arial" w:eastAsia="Arial" w:hAnsi="Arial"/>
          <w:sz w:val="24"/>
          <w:szCs w:val="24"/>
        </w:rPr>
        <w:t xml:space="preserve">__________________________________________________</w:t>
      </w:r>
    </w:p>
    <w:p>
      <w:pPr>
        <w:spacing w:after="120"/>
        <w:jc w:val="center"/>
      </w:pPr>
      <w:r>
        <w:rPr>
          <w:rFonts w:ascii="Arial" w:cs="Arial" w:eastAsia="Arial" w:hAnsi="Arial"/>
          <w:sz w:val="24"/>
          <w:szCs w:val="24"/>
        </w:rPr>
        <w:t xml:space="preserve">[ФИО и должность]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АЗИАТСКИЙ БАНК РАЗВИТИЯ</w:t>
      </w:r>
    </w:p>
    <w:p>
      <w:pPr>
        <w:spacing w:after="120"/>
        <w:jc w:val="center"/>
      </w:pPr>
      <w:r>
        <w:rPr>
          <w:rFonts w:ascii="Arial" w:cs="Arial" w:eastAsia="Arial" w:hAnsi="Arial"/>
          <w:sz w:val="24"/>
          <w:szCs w:val="24"/>
        </w:rPr>
        <w:t xml:space="preserve">__________________________________________________</w:t>
      </w:r>
    </w:p>
    <w:p>
      <w:pPr>
        <w:spacing w:after="120"/>
        <w:jc w:val="center"/>
      </w:pPr>
      <w:r>
        <w:rPr>
          <w:rFonts w:ascii="Arial" w:cs="Arial" w:eastAsia="Arial" w:hAnsi="Arial"/>
          <w:sz w:val="24"/>
          <w:szCs w:val="24"/>
        </w:rPr>
        <w:t xml:space="preserve">[ФИО и должность]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w:t>
      </w:r>
    </w:p>
    <w:p>
      <w:pPr>
        <w:spacing w:after="240" w:before="200"/>
        <w:jc w:val="center"/>
      </w:pPr>
      <w:r>
        <w:rPr>
          <w:rFonts w:ascii="Arial" w:cs="Arial" w:eastAsia="Arial" w:hAnsi="Arial"/>
          <w:b/>
          <w:bCs/>
          <w:sz w:val="32"/>
          <w:szCs w:val="32"/>
        </w:rPr>
        <w:t xml:space="preserve">Распределение и снятие средств поступлений от гранта</w:t>
      </w:r>
    </w:p>
    <w:p>
      <w:pPr>
        <w:spacing w:after="120"/>
        <w:jc w:val="left"/>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 В таблице, прилагаемой к настоящему Приложению, указаны категории статей расходов, подлежащих финансированию за счет поступлений от гранта, и распределение поступлений от гранта по каждой такой категории («Таблица»). (Ссылка на «Категорию» в этом Приложении относится к категории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для снятия средств с грантового счета</w:t>
      </w:r>
    </w:p>
    <w:p>
      <w:pPr>
        <w:spacing w:after="120"/>
        <w:jc w:val="both"/>
      </w:pPr>
      <w:r>
        <w:rPr>
          <w:rFonts w:ascii="Arial" w:cs="Arial" w:eastAsia="Arial" w:hAnsi="Arial"/>
          <w:sz w:val="24"/>
          <w:szCs w:val="24"/>
        </w:rPr>
        <w:t xml:space="preserve">2. За исключением случаев, когда АБР может договориться об ином, поступления от гранта распределяются по статьям правомочных расходов и распределяются на основе процента снятия средств по каждой статье расходов, как указано в Таблице.</w:t>
      </w:r>
    </w:p>
    <w:p>
      <w:pPr>
        <w:spacing w:after="120"/>
        <w:jc w:val="both"/>
      </w:pPr>
      <w:r>
        <w:rPr>
          <w:rFonts w:ascii="Arial" w:cs="Arial" w:eastAsia="Arial" w:hAnsi="Arial"/>
          <w:sz w:val="24"/>
          <w:szCs w:val="24"/>
        </w:rPr>
        <w:t xml:space="preserve">3. Что касается любой вакцины против COVID-19, АБР финансирует только те вакцины, которые продолжают квалифицироваться в качестве правомочной вакцины на момент подачи запроса на снятие средств со счета гранта.</w:t>
      </w:r>
    </w:p>
    <w:p>
      <w:pPr>
        <w:spacing w:after="120"/>
        <w:jc w:val="both"/>
      </w:pPr>
      <w:r>
        <w:rPr>
          <w:rFonts w:ascii="Arial" w:cs="Arial" w:eastAsia="Arial" w:hAnsi="Arial"/>
          <w:sz w:val="24"/>
          <w:szCs w:val="24"/>
        </w:rPr>
        <w:t xml:space="preserve">Перераспределение</w:t>
      </w:r>
    </w:p>
    <w:p>
      <w:pPr>
        <w:spacing w:after="120"/>
        <w:jc w:val="both"/>
      </w:pPr>
      <w:r>
        <w:rPr>
          <w:rFonts w:ascii="Arial" w:cs="Arial" w:eastAsia="Arial" w:hAnsi="Arial"/>
          <w:sz w:val="24"/>
          <w:szCs w:val="24"/>
        </w:rPr>
        <w:t xml:space="preserve">4. Независимо от распределения поступлений от гранта и процента снятия средств, указанных в Таблице,</w:t>
      </w:r>
    </w:p>
    <w:p>
      <w:pPr>
        <w:spacing w:after="120"/>
        <w:jc w:val="both"/>
      </w:pPr>
      <w:r>
        <w:rPr>
          <w:rFonts w:ascii="Arial" w:cs="Arial" w:eastAsia="Arial" w:hAnsi="Arial"/>
          <w:sz w:val="24"/>
          <w:szCs w:val="24"/>
        </w:rPr>
        <w:t xml:space="preserve">(а) если сумма гранта, выделенного по какой-либо категории, окажется недостаточной для финансирования всех согласованных расходов но этой категории, АБР может, уведомив Получателя, (i) перераспределить в такую категорию в объеме, необходимом для покрытия предполагаемого дефицита, те суммы гранта, которые были выделены по другой категории, но, по мнению АБР, не требуются для покрытия таких других расходов, (ii) если такое перераспределение не может полностью покрыть предполагаемый дефицит, уменьшить процент снятия, применимый к таким расходам, с тем чтобы дальнейшие снятия в рамках такой категории могли продолжаться до тех пор, пока не будут произведены все расходы по ней;</w:t>
      </w:r>
    </w:p>
    <w:p>
      <w:pPr>
        <w:spacing w:after="120"/>
        <w:jc w:val="both"/>
      </w:pPr>
      <w:r>
        <w:rPr>
          <w:rFonts w:ascii="Arial" w:cs="Arial" w:eastAsia="Arial" w:hAnsi="Arial"/>
          <w:sz w:val="24"/>
          <w:szCs w:val="24"/>
        </w:rPr>
        <w:t xml:space="preserve">(b) если окажется что сумма гранта, выделенного по какой-либо категории, превышает все согласованные расходы по этой категории, АБР может, уведомив Получателя, перераспределить такую избыточную сумму в любую другую категорию.</w:t>
      </w:r>
    </w:p>
    <w:p>
      <w:pPr>
        <w:spacing w:after="120"/>
        <w:jc w:val="both"/>
      </w:pPr>
      <w:r>
        <w:rPr>
          <w:rFonts w:ascii="Arial" w:cs="Arial" w:eastAsia="Arial" w:hAnsi="Arial"/>
          <w:sz w:val="24"/>
          <w:szCs w:val="24"/>
        </w:rPr>
        <w:t xml:space="preserve">Процедуры выплаты</w:t>
      </w:r>
    </w:p>
    <w:p>
      <w:pPr>
        <w:spacing w:after="120"/>
        <w:jc w:val="both"/>
      </w:pPr>
      <w:r>
        <w:rPr>
          <w:rFonts w:ascii="Arial" w:cs="Arial" w:eastAsia="Arial" w:hAnsi="Arial"/>
          <w:sz w:val="24"/>
          <w:szCs w:val="24"/>
        </w:rPr>
        <w:t xml:space="preserve">5.  За исключением случаев, когда АБР может согласовать иное, поступления от гранта должны быть выплачены в соответствии с Руководством по выплате кредитов.</w:t>
      </w:r>
    </w:p>
    <w:p>
      <w:pPr>
        <w:spacing w:after="120"/>
        <w:jc w:val="both"/>
      </w:pPr>
      <w:r>
        <w:rPr>
          <w:rFonts w:ascii="Arial" w:cs="Arial" w:eastAsia="Arial" w:hAnsi="Arial"/>
          <w:sz w:val="24"/>
          <w:szCs w:val="24"/>
        </w:rPr>
        <w:t xml:space="preserve">Авансовое финансирование и ретроактивное финансирование</w:t>
      </w:r>
    </w:p>
    <w:p>
      <w:pPr>
        <w:spacing w:after="120"/>
        <w:jc w:val="both"/>
      </w:pPr>
      <w:r>
        <w:rPr>
          <w:rFonts w:ascii="Arial" w:cs="Arial" w:eastAsia="Arial" w:hAnsi="Arial"/>
          <w:sz w:val="24"/>
          <w:szCs w:val="24"/>
        </w:rPr>
        <w:t xml:space="preserve">6. Снятие средств с грантового счета может быть произведено для целей авансового финансирования предполагаемых правомочных расходов на срок до 6 месяцев, или в размере 50% от суммы гранта, выделенной на категорию 1 «Товары», в зависимости от того, какая сумма меньше, в соответствии с процедурами авансового финансирования, описанными в Руководстве по выплате кредитов.</w:t>
      </w:r>
    </w:p>
    <w:p>
      <w:pPr>
        <w:spacing w:after="120"/>
        <w:jc w:val="both"/>
      </w:pPr>
      <w:r>
        <w:rPr>
          <w:rFonts w:ascii="Arial" w:cs="Arial" w:eastAsia="Arial" w:hAnsi="Arial"/>
          <w:sz w:val="24"/>
          <w:szCs w:val="24"/>
        </w:rPr>
        <w:t xml:space="preserve">7. Снятие средств с грантового счгта может быть произведено для финансирования правомочных расходов, понесенных в рамках Проекта до даты вступления в силу по пунктам, подлежащим ретроактивному финансированию, при том, что максимальная сумма эквивалентна 30% от суммы гранта, при условии, что расходы были понесены после объявления чрезвычайной ситуации по COVID-19, но не ранее чем за 12 месяцев до даты настоящего Грантового соглашения.</w:t>
      </w:r>
    </w:p>
    <w:p>
      <w:pPr>
        <w:spacing w:after="120"/>
        <w:jc w:val="both"/>
      </w:pPr>
      <w:r>
        <w:rPr>
          <w:rFonts w:ascii="Arial" w:cs="Arial" w:eastAsia="Arial" w:hAnsi="Arial"/>
          <w:sz w:val="24"/>
          <w:szCs w:val="24"/>
        </w:rPr>
        <w:t xml:space="preserve">8. В каждом случае совокупный остаток непогашенной суммы авансового финансирования и процент, утвержденный для ретроактивного финансирования, ни в коем случае не должен превышать 60% суммы гранта, выделенной для категории 1 «Товары».</w:t>
      </w:r>
    </w:p>
    <w:p>
      <w:pPr>
        <w:spacing w:after="120"/>
        <w:jc w:val="both"/>
      </w:pPr>
      <w:r>
        <w:rPr>
          <w:rFonts w:ascii="Arial" w:cs="Arial" w:eastAsia="Arial" w:hAnsi="Arial"/>
          <w:sz w:val="24"/>
          <w:szCs w:val="24"/>
        </w:rPr>
        <w:t xml:space="preserve">[Условие для снятия средств с грантового счета </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9. Несмотря на любые другие положения настоящего Грантового соглашения, снятие средств с грантового счета не производится ни по одному из товаров Категории 1 из приведенной ниже таблицы до тех пор, пока:</w:t>
      </w:r>
    </w:p>
    <w:p>
      <w:pPr>
        <w:spacing w:after="120"/>
        <w:jc w:val="both"/>
      </w:pPr>
      <w:r>
        <w:rPr>
          <w:rFonts w:ascii="Arial" w:cs="Arial" w:eastAsia="Arial" w:hAnsi="Arial"/>
          <w:sz w:val="24"/>
          <w:szCs w:val="24"/>
        </w:rPr>
        <w:t xml:space="preserve">АБР ни получит письмо от Заемщика, подтверждающее (i) какая</w:t>
      </w:r>
    </w:p>
    <w:p>
      <w:pPr>
        <w:spacing w:after="120"/>
        <w:ind w:firstLine="708"/>
        <w:jc w:val="both"/>
      </w:pPr>
      <w:r>
        <w:rPr>
          <w:rFonts w:ascii="Arial" w:cs="Arial" w:eastAsia="Arial" w:hAnsi="Arial"/>
          <w:sz w:val="24"/>
          <w:szCs w:val="24"/>
        </w:rPr>
        <w:t xml:space="preserve">вакцина(вакцины) против COVID-19 была/были выбраны для закупки и/или транспортировки с использованием средств гранта; (ii) какой из критериев правомочности был выполнен в отношении выбранных вакцин против COVID-19; (Hi) что такая вакцина(вакцины) против COVID-19 получила/получили все необходимые разрешения Получателя и была одобрена ДЛСиМИ и любыми другими соответствующими регулирующими органами для распространения и администрирования на территории Получателя;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на основе информации, представленной в вышеупомянутом письме, АБР ни уведомил Получателя о том, что вакцина(ы) против COVID-19, подлежащая закупке и/или транспортировке, обозначена в качестве правомочной вакцины.]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Это условие для смятия должно быть включено, если АБР ме предоставил подтверждение до переговоров по кредиту (в соответствии с рекомендациями Заемщика) о том. что вакцины, предлагаемые для закупки в рамках Проекта, являются правомочными вакцинами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РАСПРЕДЕЛЕНИЕ И СНЯТИЕ ПОСТУПЛЕНИЙ ОТ ГРАНТА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выделенная для финансирования АБР</w:t>
            </w:r>
          </w:p>
          <w:p>
            <w:pPr>
              <w:jc w:val="left"/>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снятия средств со счета гранта</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Товары (включая правомочные вакцины, оплату за управление, международную и внутреннюю логистику и вспомогательные товары)**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10 593 714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от заявленных общих расходов *</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Оборудование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112 500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от заявленных общих расходов*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 (включая аудит)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ООО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от заявленных общих расходов*</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Управление проектом</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245 196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00% от заявленных общих расходов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1 423 591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12 500 000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За вычетом налогов и пошлин, взимаемых на территории Получателя.</w:t>
      </w:r>
    </w:p>
    <w:p>
      <w:pPr>
        <w:spacing w:after="120"/>
        <w:jc w:val="both"/>
      </w:pPr>
      <w:r>
        <w:rPr>
          <w:rFonts w:ascii="Arial" w:cs="Arial" w:eastAsia="Arial" w:hAnsi="Arial"/>
          <w:sz w:val="24"/>
          <w:szCs w:val="24"/>
        </w:rPr>
        <w:t xml:space="preserve">** При условии соблюдения условий снятия, описанных в пункте 8 настоящего</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r-0nydmr9yzjh9wwgrd">
      <w:r>
        <w:rPr>
          <w:rFonts w:ascii="Arial" w:cs="Arial" w:eastAsia="Arial" w:hAnsi="Arial"/>
          <w:color w:val="132D3F"/>
          <w:sz w:val="16"/>
          <w:szCs w:val="16"/>
          <w:u w:val="single"/>
        </w:rPr>
        <w:t xml:space="preserve">dalil.kg/document/218792</w:t>
      </w:r>
    </w:hyperlink>
  </w:p>
  <w:p>
    <w:pPr>
      <w:spacing w:after="0" w:before="40"/>
      <w:jc w:val="center"/>
    </w:pPr>
    <w:hyperlink w:history="1" r:id="rId6vqktk-dgof1okntsyq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r-0nydmr9yzjh9wwgrd" Type="http://schemas.openxmlformats.org/officeDocument/2006/relationships/hyperlink" Target="https://dalil.kg/document/218792" TargetMode="External"/><Relationship Id="rId6vqktk-dgof1okntsyq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2026-09-29T05:51:51.591Z</dcterms:created>
  <dcterms:modified xsi:type="dcterms:W3CDTF">2026-09-29T05:51:51.591Z</dcterms:modified>
</cp:coreProperties>
</file>

<file path=docProps/custom.xml><?xml version="1.0" encoding="utf-8"?>
<Properties xmlns="http://schemas.openxmlformats.org/officeDocument/2006/custom-properties" xmlns:vt="http://schemas.openxmlformats.org/officeDocument/2006/docPropsVTypes"/>
</file>