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 апреля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163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внесения изменений в Соглашение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развития, подписанное 28 февраля 2017 года в городе Бишкек и ратифицированное Законом Кыргызской Республики от 10 июля 2017 года № 121, в соответствии с Законом Кыргызской Республики "О международных договорах Кыргызской Республики", статьями </w:t>
      </w:r>
      <w:hyperlink w:history="1" r:id="rIdustt4kgsavfasqkmbde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qekxogikyjognh4x5i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проект </w:t>
      </w:r>
      <w:hyperlink w:history="1" r:id="rIdpocra-cnvg-mm4pkwbo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Дополнительного соглашения № 2</w:t>
        </w:r>
      </w:hyperlink>
      <w:r>
        <w:rPr>
          <w:rFonts w:ascii="Arial" w:cs="Arial" w:eastAsia="Arial" w:hAnsi="Arial"/>
          <w:sz w:val="24"/>
          <w:szCs w:val="24"/>
        </w:rPr>
        <w:t xml:space="preserve"> к Соглашению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развития, подписанному 28 февраля 2017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финансов Кыргызской Республики на подписание проекта Дополнительного соглашения № 2, указанного в пункте 1 настоящего распоряжения, от имени Кыргызской Республики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Дополнительное </w:t>
      </w:r>
      <w:r>
        <w:rPr>
          <w:rFonts w:ascii="Arial" w:cs="Arial" w:eastAsia="Arial" w:hAnsi="Arial"/>
          <w:sz w:val="24"/>
          <w:szCs w:val="24"/>
        </w:rPr>
        <w:t xml:space="preserve">соглашение №2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 соглашению </w:t>
      </w:r>
      <w:r>
        <w:rPr>
          <w:rFonts w:ascii="Arial" w:cs="Arial" w:eastAsia="Arial" w:hAnsi="Arial"/>
          <w:sz w:val="24"/>
          <w:szCs w:val="24"/>
        </w:rPr>
        <w:t xml:space="preserve">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ЕВРАЗИЙСКИЙ БАНК РАЗВИТИЯ, международная организация, созданная и осуществляющая свою деятельность на основании Соглашения об учреждении Евразийского банка развития, заключенного 12 января 2006 года между Российской Федерацией и Республикой Казахстан, штаб-квартира которого расположена по адресу: Республика Казахстан, город Алматы, 050051, пр.Достык, 220, являющийся Управляющим средствами Евразийского фонда стабилизации и развития и выступающий от имени и по поручению его участников, руководствуясь Договором об учреждении Евразийского фонда стабилизации и развития от 9 июня 2009 года, Соглашением об управлении средствами Евразийского фонда стабилизации и развития от 9 июня 2009 года и решением Совета Евразийского фонда стабилизации и развития о</w:t>
      </w:r>
      <w:r>
        <w:rPr>
          <w:rFonts w:ascii="Arial" w:cs="Arial" w:eastAsia="Arial" w:hAnsi="Arial"/>
          <w:sz w:val="24"/>
          <w:szCs w:val="24"/>
        </w:rPr>
        <w:t xml:space="preserve">т 27 декабря 2021 года (протокол №73),в дальнейшем именуемый “Управляющий”,и Кыргызская Республика, </w:t>
      </w:r>
      <w:r>
        <w:rPr>
          <w:rFonts w:ascii="Arial" w:cs="Arial" w:eastAsia="Arial" w:hAnsi="Arial"/>
          <w:sz w:val="24"/>
          <w:szCs w:val="24"/>
        </w:rPr>
        <w:t xml:space="preserve">в дальнейшем именуемая "Получатель</w:t>
      </w:r>
      <w:r>
        <w:rPr>
          <w:rFonts w:ascii="Arial" w:cs="Arial" w:eastAsia="Arial" w:hAnsi="Arial"/>
          <w:sz w:val="24"/>
          <w:szCs w:val="24"/>
        </w:rPr>
        <w:t xml:space="preserve">”, </w:t>
      </w:r>
      <w:r>
        <w:rPr>
          <w:rFonts w:ascii="Arial" w:cs="Arial" w:eastAsia="Arial" w:hAnsi="Arial"/>
          <w:sz w:val="24"/>
          <w:szCs w:val="24"/>
        </w:rPr>
        <w:t xml:space="preserve">заключили настоящее</w:t>
      </w:r>
      <w:r>
        <w:rPr>
          <w:rFonts w:ascii="Arial" w:cs="Arial" w:eastAsia="Arial" w:hAnsi="Arial"/>
          <w:sz w:val="24"/>
          <w:szCs w:val="24"/>
        </w:rPr>
        <w:t xml:space="preserve"> дополнительное соглашение № 2 (далее-“Дополнительное соглашение №2”) к Соглашению о предоставлении инвестиционного кредита из средств Евразийского фонда стабилизации и развития для финансирования проекта “</w:t>
      </w:r>
      <w:r>
        <w:rPr>
          <w:rFonts w:ascii="Arial" w:cs="Arial" w:eastAsia="Arial" w:hAnsi="Arial"/>
          <w:sz w:val="24"/>
          <w:szCs w:val="24"/>
        </w:rPr>
        <w:t xml:space="preserve">Ввод в эксплуатацию второго гидроагрегата Камбаратинской ГЭС-2"</w:t>
      </w:r>
      <w:r>
        <w:rPr>
          <w:rFonts w:ascii="Arial" w:cs="Arial" w:eastAsia="Arial" w:hAnsi="Arial"/>
          <w:sz w:val="24"/>
          <w:szCs w:val="24"/>
        </w:rPr>
        <w:t xml:space="preserve">,заключенному между Управляющим и Получателем 28 февраля 2017 года (далее-“Соглашение”) о нижеследующем: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Термины и определения,используемые в Дополнительном соглашение №2,имеют то же значение,что и в Соглашении.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Приложение № 3 к Соглашению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“График погашения Основного долга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Основной долг подлежит погашению 30 марта и 30 сентября каждого года,начиная с 30 марта 2024 года и заканчивая 30 марта 2039 года.График погашения Основного долга рассчитывается исходя из того,что каждая выбранная сумма Инвестиционного кредита подлежит погашению равными долями в каждую Дату погашения основного долга,начиная с ближайшей Даты погашения основного долга,следующей за выборкой указанной суммы,и заканчивая 30 марта 2039 года.Неделимые остатки относятся на последнюю Дату погашения основного долга-30 марта 2039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2.Управляющий уведомляет Получателя о каждом изменении Графика погашения Основного долга по мере выборки сумм Инвестиционного кредита с приложением измененного Графика погашения Основного долга,а также о размере каждого очередного платежа в погашение Основного долга.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Раздел 7.04 Стандартных условий об изменении графика погашения Основного долга вследствие аннулирования,не применяется.”.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Дополнительное соглашение №2 вступает в силу в порядке,предусмотренном пунктом 8.3 Соглашения,и после вступления в силу является неотьемлемой частью Соглашения. График погашения Основного долга в Даты погашения основного долга,наступившие до вступления в силу настоящего Дополнительного соглашения № 2,не пересчитывается.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Дополнительное соглашение №2 подписано “_”_____________202_года на русском языке в двух подлинных экземплярах,имеющих одинаковую юридическую силу,по одному для Управляющего и Получателя.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Получатель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Управляющий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0dvbjj3fnrqt_rqg-h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dalil.kg/document/218932</w:t>
      </w:r>
    </w:hyperlink>
  </w:p>
  <w:p>
    <w:pPr>
      <w:spacing w:after="0" w:before="40"/>
      <w:jc w:val="center"/>
    </w:pPr>
    <w:hyperlink w:history="1" r:id="rIddxezl3_zsdzkmzys9eg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stt4kgsavfasqkmbde9u" Type="http://schemas.openxmlformats.org/officeDocument/2006/relationships/hyperlink" Target="https://dalil.kg/document/112301#st_13" TargetMode="External"/><Relationship Id="rIddqekxogikyjognh4x5iif" Type="http://schemas.openxmlformats.org/officeDocument/2006/relationships/hyperlink" Target="https://dalil.kg/document/112301#st_17" TargetMode="External"/><Relationship Id="rIdpocra-cnvg-mm4pkwboa-" Type="http://schemas.openxmlformats.org/officeDocument/2006/relationships/hyperlink" Target="https://dalil.kg/document/218932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0dvbjj3fnrqt_rqg-hk-" Type="http://schemas.openxmlformats.org/officeDocument/2006/relationships/hyperlink" Target="https://dalil.kg/document/218932" TargetMode="External"/><Relationship Id="rIddxezl3_zsdzkmzys9eg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2026-09-29T06:48:11.692Z</dcterms:created>
  <dcterms:modified xsi:type="dcterms:W3CDTF">2026-09-29T06:48:11.692Z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