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480" w:before="200"/>
        <w:jc w:val="center"/>
      </w:pPr>
      <w:r>
        <w:rPr>
          <w:rFonts w:ascii="Arial" w:cs="Arial" w:eastAsia="Arial" w:hAnsi="Arial"/>
          <w:b/>
          <w:bCs/>
          <w:sz w:val="32"/>
          <w:szCs w:val="32"/>
        </w:rPr>
        <w:t xml:space="preserve">РАСПОРЯЖЕНИЕ КАБИНЕТА МИНИСТРОВ КЫРГЫЗСКОЙ РЕСПУБЛИКИ</w:t>
      </w:r>
    </w:p>
    <w:p>
      <w:pPr>
        <w:spacing w:after="120"/>
        <w:jc w:val="both"/>
      </w:pPr>
      <w:r>
        <w:rPr>
          <w:rFonts w:ascii="Arial" w:cs="Arial" w:eastAsia="Arial" w:hAnsi="Arial"/>
          <w:sz w:val="24"/>
          <w:szCs w:val="24"/>
        </w:rPr>
        <w:t xml:space="preserve">от 31 мая 2022 года № 302-р</w:t>
      </w:r>
    </w:p>
    <w:p>
      <w:pPr>
        <w:spacing w:after="120"/>
        <w:jc w:val="both"/>
      </w:pPr>
      <w:r>
        <w:rPr>
          <w:rFonts w:ascii="Arial" w:cs="Arial" w:eastAsia="Arial" w:hAnsi="Arial"/>
          <w:sz w:val="24"/>
          <w:szCs w:val="24"/>
        </w:rPr>
        <w:t xml:space="preserve">В целях развития Баткенской области и оказания государственной поддержки населению, в соответствии со статьями </w:t>
      </w:r>
      <w:hyperlink w:history="1" r:id="rIdnz-uvj8siwqy2-4o7atof">
        <w:r>
          <w:rPr>
            <w:rFonts w:ascii="Arial" w:cs="Arial" w:eastAsia="Arial" w:hAnsi="Arial"/>
            <w:color w:val="1D4ED8"/>
            <w:sz w:val="24"/>
            <w:szCs w:val="24"/>
            <w:u w:val="single"/>
          </w:rPr>
          <w:t xml:space="preserve">22</w:t>
        </w:r>
      </w:hyperlink>
      <w:r>
        <w:rPr>
          <w:rFonts w:ascii="Arial" w:cs="Arial" w:eastAsia="Arial" w:hAnsi="Arial"/>
          <w:sz w:val="24"/>
          <w:szCs w:val="24"/>
        </w:rPr>
        <w:t xml:space="preserve">, </w:t>
      </w:r>
      <w:hyperlink w:history="1" r:id="rIdetpprwz2fjqz8p49rhcym">
        <w:r>
          <w:rPr>
            <w:rFonts w:ascii="Arial" w:cs="Arial" w:eastAsia="Arial" w:hAnsi="Arial"/>
            <w:color w:val="1D4ED8"/>
            <w:sz w:val="24"/>
            <w:szCs w:val="24"/>
            <w:u w:val="single"/>
          </w:rPr>
          <w:t xml:space="preserve">115</w:t>
        </w:r>
      </w:hyperlink>
      <w:r>
        <w:rPr>
          <w:rFonts w:ascii="Arial" w:cs="Arial" w:eastAsia="Arial" w:hAnsi="Arial"/>
          <w:sz w:val="24"/>
          <w:szCs w:val="24"/>
        </w:rPr>
        <w:t xml:space="preserve"> Бюджетного кодекса Кыргызской Республики, статьями </w:t>
      </w:r>
      <w:hyperlink w:history="1" r:id="rIdmlnr4emqj1aj3khtxqyrg">
        <w:r>
          <w:rPr>
            <w:rFonts w:ascii="Arial" w:cs="Arial" w:eastAsia="Arial" w:hAnsi="Arial"/>
            <w:color w:val="1D4ED8"/>
            <w:sz w:val="24"/>
            <w:szCs w:val="24"/>
            <w:u w:val="single"/>
          </w:rPr>
          <w:t xml:space="preserve">13</w:t>
        </w:r>
      </w:hyperlink>
      <w:r>
        <w:rPr>
          <w:rFonts w:ascii="Arial" w:cs="Arial" w:eastAsia="Arial" w:hAnsi="Arial"/>
          <w:sz w:val="24"/>
          <w:szCs w:val="24"/>
        </w:rPr>
        <w:t xml:space="preserve">, </w:t>
      </w:r>
      <w:hyperlink w:history="1" r:id="rIdhlsgmm_-0nkw2qyq8crf3">
        <w:r>
          <w:rPr>
            <w:rFonts w:ascii="Arial" w:cs="Arial" w:eastAsia="Arial" w:hAnsi="Arial"/>
            <w:color w:val="1D4ED8"/>
            <w:sz w:val="24"/>
            <w:szCs w:val="24"/>
            <w:u w:val="single"/>
          </w:rPr>
          <w:t xml:space="preserve">17</w:t>
        </w:r>
      </w:hyperlink>
      <w:r>
        <w:rPr>
          <w:rFonts w:ascii="Arial" w:cs="Arial" w:eastAsia="Arial" w:hAnsi="Arial"/>
          <w:sz w:val="24"/>
          <w:szCs w:val="24"/>
        </w:rPr>
        <w:t xml:space="preserve"> конституционного Закона Кыргызской Республики "О Кабинете Министров Кыргызской Республики", статьями </w:t>
      </w:r>
      <w:hyperlink w:history="1" r:id="rIdk6z-aizmojl7wejiu8gro">
        <w:r>
          <w:rPr>
            <w:rFonts w:ascii="Arial" w:cs="Arial" w:eastAsia="Arial" w:hAnsi="Arial"/>
            <w:color w:val="1D4ED8"/>
            <w:sz w:val="24"/>
            <w:szCs w:val="24"/>
            <w:u w:val="single"/>
          </w:rPr>
          <w:t xml:space="preserve">5</w:t>
        </w:r>
      </w:hyperlink>
      <w:r>
        <w:rPr>
          <w:rFonts w:ascii="Arial" w:cs="Arial" w:eastAsia="Arial" w:hAnsi="Arial"/>
          <w:sz w:val="24"/>
          <w:szCs w:val="24"/>
        </w:rPr>
        <w:t xml:space="preserve">, </w:t>
      </w:r>
      <w:hyperlink w:history="1" r:id="rId4jopfmtsnwybcp99nw7jb">
        <w:r>
          <w:rPr>
            <w:rFonts w:ascii="Arial" w:cs="Arial" w:eastAsia="Arial" w:hAnsi="Arial"/>
            <w:color w:val="1D4ED8"/>
            <w:sz w:val="24"/>
            <w:szCs w:val="24"/>
            <w:u w:val="single"/>
          </w:rPr>
          <w:t xml:space="preserve">6</w:t>
        </w:r>
      </w:hyperlink>
      <w:r>
        <w:rPr>
          <w:rFonts w:ascii="Arial" w:cs="Arial" w:eastAsia="Arial" w:hAnsi="Arial"/>
          <w:sz w:val="24"/>
          <w:szCs w:val="24"/>
        </w:rPr>
        <w:t xml:space="preserve"> Закона Кыргызской Республики "О статусе Баткенской области":</w:t>
      </w:r>
    </w:p>
    <w:p>
      <w:pPr>
        <w:spacing w:after="120"/>
        <w:jc w:val="both"/>
      </w:pPr>
      <w:r>
        <w:rPr>
          <w:rFonts w:ascii="Arial" w:cs="Arial" w:eastAsia="Arial" w:hAnsi="Arial"/>
          <w:sz w:val="24"/>
          <w:szCs w:val="24"/>
        </w:rPr>
        <w:t xml:space="preserve">1. Утвердить проект "Льготное финансирование Баткенской области" (далее - Проект) согласно </w:t>
      </w:r>
      <w:hyperlink w:history="1" r:id="rId5ndc-_7r2mfuhym72ur3u">
        <w:r>
          <w:rPr>
            <w:rFonts w:ascii="Arial" w:cs="Arial" w:eastAsia="Arial" w:hAnsi="Arial"/>
            <w:color w:val="1D4ED8"/>
            <w:sz w:val="24"/>
            <w:szCs w:val="24"/>
            <w:u w:val="single"/>
          </w:rPr>
          <w:t xml:space="preserve">приложению</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 Установить срок реализации Проекта 60 месяцев.</w:t>
      </w:r>
    </w:p>
    <w:p>
      <w:pPr>
        <w:spacing w:after="120"/>
        <w:jc w:val="both"/>
      </w:pPr>
      <w:r>
        <w:rPr>
          <w:rFonts w:ascii="Arial" w:cs="Arial" w:eastAsia="Arial" w:hAnsi="Arial"/>
          <w:sz w:val="24"/>
          <w:szCs w:val="24"/>
        </w:rPr>
        <w:t xml:space="preserve">3. Министерству финансов Кыргызской Республики в установленном порядке:</w:t>
      </w:r>
    </w:p>
    <w:p>
      <w:pPr>
        <w:spacing w:after="120"/>
        <w:jc w:val="both"/>
      </w:pPr>
      <w:r>
        <w:rPr>
          <w:rFonts w:ascii="Arial" w:cs="Arial" w:eastAsia="Arial" w:hAnsi="Arial"/>
          <w:sz w:val="24"/>
          <w:szCs w:val="24"/>
        </w:rPr>
        <w:t xml:space="preserve">1) по согласованию с Комитетом по бюджету, экономической и фискальной политике Жогорку Кенеша Кыргызской Республики выделить из республиканского бюджета 50000000,00 (пятьдесят миллионов) сомов на 2022 год на субсидирование процентных ставок открытых акционерных обществ "РСК Банк", "Айыл Банк" и "Керемет Банк";</w:t>
      </w:r>
    </w:p>
    <w:p>
      <w:pPr>
        <w:spacing w:after="120"/>
        <w:jc w:val="both"/>
      </w:pPr>
      <w:r>
        <w:rPr>
          <w:rFonts w:ascii="Arial" w:cs="Arial" w:eastAsia="Arial" w:hAnsi="Arial"/>
          <w:sz w:val="24"/>
          <w:szCs w:val="24"/>
        </w:rPr>
        <w:t xml:space="preserve">2) заключить соответствующие соглашения о субсидировании процентных ставок с коммерческими банками, участвующими в реализации Проекта;</w:t>
      </w:r>
    </w:p>
    <w:p>
      <w:pPr>
        <w:spacing w:after="120"/>
        <w:jc w:val="both"/>
      </w:pPr>
      <w:r>
        <w:rPr>
          <w:rFonts w:ascii="Arial" w:cs="Arial" w:eastAsia="Arial" w:hAnsi="Arial"/>
          <w:sz w:val="24"/>
          <w:szCs w:val="24"/>
        </w:rPr>
        <w:t xml:space="preserve">3) при разработке проекта Закона Кыргызской Республики "О внесении изменений в </w:t>
      </w:r>
      <w:hyperlink w:history="1" r:id="rIdfcl3uwpzdwyvrrbgnfahi">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республиканском бюджете Кыргызской Республики на 2022 год и прогнозе на 2023-2024 год" учесть изменения, вытекающие из настоящего распоряжения.</w:t>
      </w:r>
    </w:p>
    <w:p>
      <w:pPr>
        <w:spacing w:after="120"/>
        <w:jc w:val="both"/>
      </w:pPr>
      <w:r>
        <w:rPr>
          <w:rFonts w:ascii="Arial" w:cs="Arial" w:eastAsia="Arial" w:hAnsi="Arial"/>
          <w:sz w:val="24"/>
          <w:szCs w:val="24"/>
        </w:rPr>
        <w:t xml:space="preserve">4. Рекомендовать открытым акционерным обществам, указанным в подпункте 1 пункта 3 настоящего распоряжения, не взимать комиссии и иные сборы при кредитовании субъектов, принимающих участие в реализации Проекта.</w:t>
      </w:r>
    </w:p>
    <w:p>
      <w:pPr>
        <w:spacing w:after="120"/>
        <w:jc w:val="both"/>
      </w:pPr>
      <w:r>
        <w:rPr>
          <w:rFonts w:ascii="Arial" w:cs="Arial" w:eastAsia="Arial" w:hAnsi="Arial"/>
          <w:sz w:val="24"/>
          <w:szCs w:val="24"/>
        </w:rPr>
        <w:t xml:space="preserve">5. Министерству экономики и коммерции Кыргызской Республики и Министерству сельского хозяйства Кыргызской Республики совместно с открытыми акционерными обществами, указанными в подпункте 1 пункта 3 настоящего распоряжения, провести анализ эффективности по итогам завершения Проекта.</w:t>
      </w:r>
    </w:p>
    <w:p>
      <w:pPr>
        <w:spacing w:after="120"/>
        <w:jc w:val="both"/>
      </w:pPr>
      <w:r>
        <w:rPr>
          <w:rFonts w:ascii="Arial" w:cs="Arial" w:eastAsia="Arial" w:hAnsi="Arial"/>
          <w:sz w:val="24"/>
          <w:szCs w:val="24"/>
        </w:rPr>
        <w:t xml:space="preserve">6. Контроль за исполнением настоящего распоряжения возложить на управление контроля исполнения решений Президента и Кабинета Министров Администрации Президента Кыргызской Республики.</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Председатель</w:t>
      </w:r>
      <w:r>
        <w:rPr>
          <w:rFonts w:ascii="Arial" w:cs="Arial" w:eastAsia="Arial" w:hAnsi="Arial"/>
          <w:sz w:val="24"/>
          <w:szCs w:val="24"/>
        </w:rPr>
        <w:t xml:space="preserve">	</w:t>
      </w:r>
      <w:r>
        <w:rPr>
          <w:rFonts w:ascii="Arial" w:cs="Arial" w:eastAsia="Arial" w:hAnsi="Arial"/>
          <w:sz w:val="24"/>
          <w:szCs w:val="24"/>
        </w:rPr>
        <w:t xml:space="preserve">А.У.Жапаров</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w:t>
      </w:r>
    </w:p>
    <w:p>
      <w:pPr>
        <w:spacing w:after="240" w:before="200"/>
        <w:jc w:val="center"/>
      </w:pPr>
      <w:r>
        <w:rPr>
          <w:rFonts w:ascii="Arial" w:cs="Arial" w:eastAsia="Arial" w:hAnsi="Arial"/>
          <w:b/>
          <w:bCs/>
          <w:sz w:val="32"/>
          <w:szCs w:val="32"/>
        </w:rPr>
        <w:t xml:space="preserve">Проект
 "Льготное финансирование Баткенской области"</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1. Общие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Целью проекта "Льготное финансирование Баткенской области" (далее - Проект) является обеспечение дальнейшего развития Баткенской области, оказание государственной поддержки субъектам предпринимательства и физическим лицам (далее - хозяйствующие субъекты) путем предоставления доступных и льготных кредитных средств.</w:t>
      </w:r>
    </w:p>
    <w:p>
      <w:pPr>
        <w:spacing w:after="120"/>
        <w:jc w:val="both"/>
      </w:pPr>
      <w:r>
        <w:rPr>
          <w:rFonts w:ascii="Arial" w:cs="Arial" w:eastAsia="Arial" w:hAnsi="Arial"/>
          <w:sz w:val="24"/>
          <w:szCs w:val="24"/>
        </w:rPr>
        <w:t xml:space="preserve">2. Срок реализации Проекта - 60 месяцев.</w:t>
      </w:r>
    </w:p>
    <w:p>
      <w:pPr>
        <w:spacing w:after="120"/>
        <w:jc w:val="both"/>
      </w:pPr>
      <w:r>
        <w:rPr>
          <w:rFonts w:ascii="Arial" w:cs="Arial" w:eastAsia="Arial" w:hAnsi="Arial"/>
          <w:sz w:val="24"/>
          <w:szCs w:val="24"/>
        </w:rPr>
        <w:t xml:space="preserve">3. Стоимость Проекта - 470 млн. сомов.</w:t>
      </w:r>
    </w:p>
    <w:p>
      <w:pPr>
        <w:spacing w:after="120"/>
        <w:jc w:val="both"/>
      </w:pPr>
      <w:r>
        <w:rPr>
          <w:rFonts w:ascii="Arial" w:cs="Arial" w:eastAsia="Arial" w:hAnsi="Arial"/>
          <w:sz w:val="24"/>
          <w:szCs w:val="24"/>
        </w:rPr>
        <w:t xml:space="preserve">4. Источники финансирования: республиканский бюджет Кыргызской Республики и средства открытых акционерных обществ "РСК Банк", "Айыл Банк" и "Керемет Банк".</w:t>
      </w:r>
    </w:p>
    <w:p>
      <w:pPr>
        <w:spacing w:after="120"/>
        <w:jc w:val="both"/>
      </w:pPr>
      <w:r>
        <w:rPr>
          <w:rFonts w:ascii="Arial" w:cs="Arial" w:eastAsia="Arial" w:hAnsi="Arial"/>
          <w:sz w:val="24"/>
          <w:szCs w:val="24"/>
        </w:rPr>
        <w:t xml:space="preserve">5. Финансирование будет направлено субъектам приграничных населенных пунктов Баткенской области согласно перечню, указанному в </w:t>
      </w:r>
      <w:hyperlink w:history="1" r:id="rId9zqje_ecxqjugjnkkkwgi">
        <w:r>
          <w:rPr>
            <w:rFonts w:ascii="Arial" w:cs="Arial" w:eastAsia="Arial" w:hAnsi="Arial"/>
            <w:color w:val="1D4ED8"/>
            <w:sz w:val="24"/>
            <w:szCs w:val="24"/>
            <w:u w:val="single"/>
          </w:rPr>
          <w:t xml:space="preserve">приложении 1</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6. Начало реализации Проекта - май 2022 года.</w:t>
      </w:r>
    </w:p>
    <w:p>
      <w:pPr>
        <w:spacing w:after="120"/>
        <w:jc w:val="both"/>
      </w:pPr>
      <w:r>
        <w:rPr>
          <w:rFonts w:ascii="Arial" w:cs="Arial" w:eastAsia="Arial" w:hAnsi="Arial"/>
          <w:sz w:val="24"/>
          <w:szCs w:val="24"/>
        </w:rPr>
        <w:t xml:space="preserve">7. Ответственные исполнители: Министерство финансов Кыргызской Республики, Министерство сельского хозяйства Кыргызской Республики, Министерство экономики и коммерции Кыргызской Республики, Национальный банк Кыргызской Республики и коммерческие банки, участвующие в реализации Проекта.</w:t>
      </w:r>
    </w:p>
    <w:p>
      <w:pPr>
        <w:spacing w:after="120"/>
        <w:jc w:val="both"/>
      </w:pPr>
      <w:r>
        <w:rPr>
          <w:rFonts w:ascii="Arial" w:cs="Arial" w:eastAsia="Arial" w:hAnsi="Arial"/>
          <w:sz w:val="24"/>
          <w:szCs w:val="24"/>
        </w:rPr>
        <w:t xml:space="preserve">8. Описание Проекта. В рамках Проекта в течение 2022 года финансовые средства коммерческих банков будут предоставляться физическим лицам, субъектам малого и среднего бизнеса, осуществляющим свою деятельность в приграничных населенных пунктах Баткенской области, для развития сельского хозяйства, производства и переработки сельскохозяйственной продукции, промышленности, туризма, транспорта, экспортно-ориентированных и импортозамещающих предприятий, торгово-логистических центров и овощных хранилищ, инновационной деятельности (создание новых предприятий или новых направлений деятельности), производства защитных медицинских средств и средств индивидуальной защиты, торговли, сферы услуг, образования, информационных технологий по льготным процентным ставкам, в том числе в соответствии с исламскими принципами банковского дела и финансирования, согласно требованиям Национального Банка Кыргызской Республики.</w:t>
      </w:r>
    </w:p>
    <w:p>
      <w:pPr>
        <w:spacing w:after="120"/>
        <w:jc w:val="both"/>
      </w:pPr>
      <w:r>
        <w:rPr>
          <w:rFonts w:ascii="Arial" w:cs="Arial" w:eastAsia="Arial" w:hAnsi="Arial"/>
          <w:sz w:val="24"/>
          <w:szCs w:val="24"/>
        </w:rPr>
        <w:t xml:space="preserve">9. Кабинет Министров Кыргызской Республики субсидирует расходы хозяйствующих субъектов по процентным платежам/наценке по финансированию, а также расходы коммерческих банков из средств республиканского бюджета по размещению кредитов и финансированию, в том числе в соответствии с исламскими принципами, по льготным процентным ставкам.</w:t>
      </w:r>
    </w:p>
    <w:p>
      <w:pPr>
        <w:spacing w:after="120"/>
        <w:jc w:val="both"/>
      </w:pPr>
      <w:r>
        <w:rPr>
          <w:rFonts w:ascii="Arial" w:cs="Arial" w:eastAsia="Arial" w:hAnsi="Arial"/>
          <w:sz w:val="24"/>
          <w:szCs w:val="24"/>
        </w:rPr>
        <w:t xml:space="preserve">10. Порядок предоставления кредитов и финансирования, в том числе в соответствии с исламскими принципами, определяется согласно нормативным правовым актам Национального банка Кыргызской Республики.</w:t>
      </w:r>
    </w:p>
    <w:p>
      <w:pPr>
        <w:spacing w:after="120"/>
        <w:jc w:val="both"/>
      </w:pPr>
      <w:r>
        <w:rPr>
          <w:rFonts w:ascii="Arial" w:cs="Arial" w:eastAsia="Arial" w:hAnsi="Arial"/>
          <w:sz w:val="24"/>
          <w:szCs w:val="24"/>
        </w:rPr>
        <w:t xml:space="preserve">11. Коммерческие банки вправе осуществлять кредитование/финансирование хозяйствующих субъектов в рамках настоящего Проекта под гарантию открытого акционерного общества "Гарантийный фонд".</w:t>
      </w:r>
    </w:p>
    <w:p>
      <w:pPr>
        <w:spacing w:after="120"/>
        <w:jc w:val="both"/>
      </w:pPr>
      <w:r>
        <w:rPr>
          <w:rFonts w:ascii="Arial" w:cs="Arial" w:eastAsia="Arial" w:hAnsi="Arial"/>
          <w:sz w:val="24"/>
          <w:szCs w:val="24"/>
        </w:rPr>
        <w:t xml:space="preserve">12. Все риски по возврату выданных кредитов и финансирования, в том числе в соответствии с исламскими принципами, несут коммерческие банки.</w:t>
      </w:r>
    </w:p>
    <w:p>
      <w:pPr>
        <w:spacing w:after="120"/>
        <w:jc w:val="both"/>
      </w:pPr>
      <w:r>
        <w:rPr>
          <w:rFonts w:ascii="Arial" w:cs="Arial" w:eastAsia="Arial" w:hAnsi="Arial"/>
          <w:sz w:val="24"/>
          <w:szCs w:val="24"/>
        </w:rPr>
        <w:t xml:space="preserve">13. Кредитование или финансирование заемщиков, в том числе в соответствии с исламскими принципами, осуществляется на основных общих условиях согласно </w:t>
      </w:r>
      <w:hyperlink w:history="1" r:id="rIdxcaj-4fr1ay-4-t-ssbyl">
        <w:r>
          <w:rPr>
            <w:rFonts w:ascii="Arial" w:cs="Arial" w:eastAsia="Arial" w:hAnsi="Arial"/>
            <w:color w:val="1D4ED8"/>
            <w:sz w:val="24"/>
            <w:szCs w:val="24"/>
            <w:u w:val="single"/>
          </w:rPr>
          <w:t xml:space="preserve">приложению 2</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14. Коммерческие банки имеют право за счет собственных расходов устанавливать более длительный льготный период по выплате основной суммы, чем предусмотрено Проектом.</w:t>
      </w:r>
    </w:p>
    <w:p>
      <w:pPr>
        <w:spacing w:after="120"/>
        <w:jc w:val="both"/>
      </w:pPr>
      <w:r>
        <w:rPr>
          <w:rFonts w:ascii="Arial" w:cs="Arial" w:eastAsia="Arial" w:hAnsi="Arial"/>
          <w:sz w:val="24"/>
          <w:szCs w:val="24"/>
        </w:rPr>
        <w:t xml:space="preserve">15. В случае недостаточности залогового обеспечения у потенциальных заемщиков последние вправе обратиться в открытое акционерное общество "Гарантийный фонд" (далее - ОАО "Гарантийный фонд") с заявлением о получении гарантии в максимальном размере до 50%.</w:t>
      </w:r>
    </w:p>
    <w:p>
      <w:pPr>
        <w:spacing w:after="120"/>
        <w:jc w:val="both"/>
      </w:pPr>
      <w:r>
        <w:rPr>
          <w:rFonts w:ascii="Arial" w:cs="Arial" w:eastAsia="Arial" w:hAnsi="Arial"/>
          <w:sz w:val="24"/>
          <w:szCs w:val="24"/>
        </w:rPr>
        <w:t xml:space="preserve">16. Допускается получение участниками Проекта параллельного финансирования в рамках настоящего Проекта в случае наличия финансирования от Российско-Кыргызского Фонда развития и других финансово-кредитных организаций, за исключением проектов "Финансирование сельского хозяйства" и "Кредитование агропромышленного комплекса".</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2. Условия по категориям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17. Условия для хозяйствующих субъектов категории "Сельское хозяйство":</w:t>
      </w:r>
    </w:p>
    <w:p>
      <w:pPr>
        <w:spacing w:after="120"/>
        <w:jc w:val="both"/>
      </w:pPr>
      <w:r>
        <w:rPr>
          <w:rFonts w:ascii="Arial" w:cs="Arial" w:eastAsia="Arial" w:hAnsi="Arial"/>
          <w:sz w:val="24"/>
          <w:szCs w:val="24"/>
        </w:rPr>
        <w:t xml:space="preserve">1) к данной категории относятся хозяйствующие субъекты, занимающиеся:</w:t>
      </w:r>
    </w:p>
    <w:p>
      <w:pPr>
        <w:spacing w:after="120"/>
        <w:jc w:val="both"/>
      </w:pPr>
      <w:r>
        <w:rPr>
          <w:rFonts w:ascii="Arial" w:cs="Arial" w:eastAsia="Arial" w:hAnsi="Arial"/>
          <w:sz w:val="24"/>
          <w:szCs w:val="24"/>
        </w:rPr>
        <w:t xml:space="preserve">- разведением крупного рогатого скота;</w:t>
      </w:r>
    </w:p>
    <w:p>
      <w:pPr>
        <w:spacing w:after="120"/>
        <w:jc w:val="both"/>
      </w:pPr>
      <w:r>
        <w:rPr>
          <w:rFonts w:ascii="Arial" w:cs="Arial" w:eastAsia="Arial" w:hAnsi="Arial"/>
          <w:sz w:val="24"/>
          <w:szCs w:val="24"/>
        </w:rPr>
        <w:t xml:space="preserve">- разведением овец, коз, лошадей, кроликов;</w:t>
      </w:r>
    </w:p>
    <w:p>
      <w:pPr>
        <w:spacing w:after="120"/>
        <w:jc w:val="both"/>
      </w:pPr>
      <w:r>
        <w:rPr>
          <w:rFonts w:ascii="Arial" w:cs="Arial" w:eastAsia="Arial" w:hAnsi="Arial"/>
          <w:sz w:val="24"/>
          <w:szCs w:val="24"/>
        </w:rPr>
        <w:t xml:space="preserve">- разведением птицы (кур, уток, гусей, страусов, перепелок и других сельскохозяйственных птиц);</w:t>
      </w:r>
    </w:p>
    <w:p>
      <w:pPr>
        <w:spacing w:after="120"/>
        <w:jc w:val="both"/>
      </w:pPr>
      <w:r>
        <w:rPr>
          <w:rFonts w:ascii="Arial" w:cs="Arial" w:eastAsia="Arial" w:hAnsi="Arial"/>
          <w:sz w:val="24"/>
          <w:szCs w:val="24"/>
        </w:rPr>
        <w:t xml:space="preserve">- разведением медовых пчел, включая производство пчелиного меда и пчелиного воска;</w:t>
      </w:r>
    </w:p>
    <w:p>
      <w:pPr>
        <w:spacing w:after="120"/>
        <w:jc w:val="both"/>
      </w:pPr>
      <w:r>
        <w:rPr>
          <w:rFonts w:ascii="Arial" w:cs="Arial" w:eastAsia="Arial" w:hAnsi="Arial"/>
          <w:sz w:val="24"/>
          <w:szCs w:val="24"/>
        </w:rPr>
        <w:t xml:space="preserve">- рыбоводством и деятельностью рыбопитомников и рыбных хозяйств;</w:t>
      </w:r>
    </w:p>
    <w:p>
      <w:pPr>
        <w:spacing w:after="120"/>
        <w:jc w:val="both"/>
      </w:pPr>
      <w:r>
        <w:rPr>
          <w:rFonts w:ascii="Arial" w:cs="Arial" w:eastAsia="Arial" w:hAnsi="Arial"/>
          <w:sz w:val="24"/>
          <w:szCs w:val="24"/>
        </w:rPr>
        <w:t xml:space="preserve">- заготовкой, переработкой и подготовкой кормов;</w:t>
      </w:r>
    </w:p>
    <w:p>
      <w:pPr>
        <w:spacing w:after="120"/>
        <w:jc w:val="both"/>
      </w:pPr>
      <w:r>
        <w:rPr>
          <w:rFonts w:ascii="Arial" w:cs="Arial" w:eastAsia="Arial" w:hAnsi="Arial"/>
          <w:sz w:val="24"/>
          <w:szCs w:val="24"/>
        </w:rPr>
        <w:t xml:space="preserve">2) цели кредитов должны быть связаны с созданием, развитием, расширением, ведением животноводства, включая улучшение условий, базы для сельскохозяйственного скота и птицы, приобретения и заготовки кормов;</w:t>
      </w:r>
    </w:p>
    <w:p>
      <w:pPr>
        <w:spacing w:after="120"/>
        <w:jc w:val="both"/>
      </w:pPr>
      <w:r>
        <w:rPr>
          <w:rFonts w:ascii="Arial" w:cs="Arial" w:eastAsia="Arial" w:hAnsi="Arial"/>
          <w:sz w:val="24"/>
          <w:szCs w:val="24"/>
        </w:rPr>
        <w:t xml:space="preserve">3) хозяйствующие субъекты данной категории должны иметь все необходимые условия для содержания и разведения сельскохозяйственных животных (как собственных, так и предоставленных в пользование или в аренду).</w:t>
      </w:r>
    </w:p>
    <w:p>
      <w:pPr>
        <w:spacing w:after="120"/>
        <w:jc w:val="both"/>
      </w:pPr>
      <w:r>
        <w:rPr>
          <w:rFonts w:ascii="Arial" w:cs="Arial" w:eastAsia="Arial" w:hAnsi="Arial"/>
          <w:sz w:val="24"/>
          <w:szCs w:val="24"/>
        </w:rPr>
        <w:t xml:space="preserve">18. Условия для хозяйствующих субъектов категории "Производство и переработка сельскохозяйственной продукции, торгово-логистические центры и овощные хранилища":</w:t>
      </w:r>
    </w:p>
    <w:p>
      <w:pPr>
        <w:spacing w:after="120"/>
        <w:jc w:val="both"/>
      </w:pPr>
      <w:r>
        <w:rPr>
          <w:rFonts w:ascii="Arial" w:cs="Arial" w:eastAsia="Arial" w:hAnsi="Arial"/>
          <w:sz w:val="24"/>
          <w:szCs w:val="24"/>
        </w:rPr>
        <w:t xml:space="preserve">1) к данной категории относятся хозяйствующие субъекты, занимающиеся:</w:t>
      </w:r>
    </w:p>
    <w:p>
      <w:pPr>
        <w:spacing w:after="120"/>
        <w:jc w:val="both"/>
      </w:pPr>
      <w:r>
        <w:rPr>
          <w:rFonts w:ascii="Arial" w:cs="Arial" w:eastAsia="Arial" w:hAnsi="Arial"/>
          <w:sz w:val="24"/>
          <w:szCs w:val="24"/>
        </w:rPr>
        <w:t xml:space="preserve">- растениеводством (выращивание фруктов, зерновых, овощных культур);</w:t>
      </w:r>
    </w:p>
    <w:p>
      <w:pPr>
        <w:spacing w:after="120"/>
        <w:jc w:val="both"/>
      </w:pPr>
      <w:r>
        <w:rPr>
          <w:rFonts w:ascii="Arial" w:cs="Arial" w:eastAsia="Arial" w:hAnsi="Arial"/>
          <w:sz w:val="24"/>
          <w:szCs w:val="24"/>
        </w:rPr>
        <w:t xml:space="preserve">- переработкой сельскохозяйственной продукции (зерновые, бобовые, мясо, рыба, молоко, шкура, шерсть);</w:t>
      </w:r>
    </w:p>
    <w:p>
      <w:pPr>
        <w:spacing w:after="120"/>
        <w:jc w:val="both"/>
      </w:pPr>
      <w:r>
        <w:rPr>
          <w:rFonts w:ascii="Arial" w:cs="Arial" w:eastAsia="Arial" w:hAnsi="Arial"/>
          <w:sz w:val="24"/>
          <w:szCs w:val="24"/>
        </w:rPr>
        <w:t xml:space="preserve">- переработкой и консервированием рыбы;</w:t>
      </w:r>
    </w:p>
    <w:p>
      <w:pPr>
        <w:spacing w:after="120"/>
        <w:jc w:val="both"/>
      </w:pPr>
      <w:r>
        <w:rPr>
          <w:rFonts w:ascii="Arial" w:cs="Arial" w:eastAsia="Arial" w:hAnsi="Arial"/>
          <w:sz w:val="24"/>
          <w:szCs w:val="24"/>
        </w:rPr>
        <w:t xml:space="preserve">- переработкой и консервированием фруктов, овощей и ягод;</w:t>
      </w:r>
    </w:p>
    <w:p>
      <w:pPr>
        <w:spacing w:after="120"/>
        <w:jc w:val="both"/>
      </w:pPr>
      <w:r>
        <w:rPr>
          <w:rFonts w:ascii="Arial" w:cs="Arial" w:eastAsia="Arial" w:hAnsi="Arial"/>
          <w:sz w:val="24"/>
          <w:szCs w:val="24"/>
        </w:rPr>
        <w:t xml:space="preserve">- производством растительных и животных масел и жиров;</w:t>
      </w:r>
    </w:p>
    <w:p>
      <w:pPr>
        <w:spacing w:after="120"/>
        <w:jc w:val="both"/>
      </w:pPr>
      <w:r>
        <w:rPr>
          <w:rFonts w:ascii="Arial" w:cs="Arial" w:eastAsia="Arial" w:hAnsi="Arial"/>
          <w:sz w:val="24"/>
          <w:szCs w:val="24"/>
        </w:rPr>
        <w:t xml:space="preserve">- производством кормов для сельскохозяйственных животных;</w:t>
      </w:r>
    </w:p>
    <w:p>
      <w:pPr>
        <w:spacing w:after="120"/>
        <w:jc w:val="both"/>
      </w:pPr>
      <w:r>
        <w:rPr>
          <w:rFonts w:ascii="Arial" w:cs="Arial" w:eastAsia="Arial" w:hAnsi="Arial"/>
          <w:sz w:val="24"/>
          <w:szCs w:val="24"/>
        </w:rPr>
        <w:t xml:space="preserve">- производством пищевых продуктов из сельскохозяйственной продукции (в том числе из вторичного сырья сельскохозяйственной продукции), за исключением производства минеральных вод;</w:t>
      </w:r>
    </w:p>
    <w:p>
      <w:pPr>
        <w:spacing w:after="120"/>
        <w:jc w:val="both"/>
      </w:pPr>
      <w:r>
        <w:rPr>
          <w:rFonts w:ascii="Arial" w:cs="Arial" w:eastAsia="Arial" w:hAnsi="Arial"/>
          <w:sz w:val="24"/>
          <w:szCs w:val="24"/>
        </w:rPr>
        <w:t xml:space="preserve">- упаковкой, складированием и хранением сельскохозяйственной продукции, включая овощехранилища;</w:t>
      </w:r>
    </w:p>
    <w:p>
      <w:pPr>
        <w:spacing w:after="120"/>
        <w:jc w:val="both"/>
      </w:pPr>
      <w:r>
        <w:rPr>
          <w:rFonts w:ascii="Arial" w:cs="Arial" w:eastAsia="Arial" w:hAnsi="Arial"/>
          <w:sz w:val="24"/>
          <w:szCs w:val="24"/>
        </w:rPr>
        <w:t xml:space="preserve">- убойные цеха для сельскохозяйственного скота и птицы;</w:t>
      </w:r>
    </w:p>
    <w:p>
      <w:pPr>
        <w:spacing w:after="120"/>
        <w:jc w:val="both"/>
      </w:pPr>
      <w:r>
        <w:rPr>
          <w:rFonts w:ascii="Arial" w:cs="Arial" w:eastAsia="Arial" w:hAnsi="Arial"/>
          <w:sz w:val="24"/>
          <w:szCs w:val="24"/>
        </w:rPr>
        <w:t xml:space="preserve">- изготовлением войлока и войлочных изделий;</w:t>
      </w:r>
    </w:p>
    <w:p>
      <w:pPr>
        <w:spacing w:after="120"/>
        <w:jc w:val="both"/>
      </w:pPr>
      <w:r>
        <w:rPr>
          <w:rFonts w:ascii="Arial" w:cs="Arial" w:eastAsia="Arial" w:hAnsi="Arial"/>
          <w:sz w:val="24"/>
          <w:szCs w:val="24"/>
        </w:rPr>
        <w:t xml:space="preserve">- строительством торгово-логистических центров для организации закупок, хранения, перевозки и сбыта сельскохозяйственной продукции;</w:t>
      </w:r>
    </w:p>
    <w:p>
      <w:pPr>
        <w:spacing w:after="120"/>
        <w:jc w:val="both"/>
      </w:pPr>
      <w:r>
        <w:rPr>
          <w:rFonts w:ascii="Arial" w:cs="Arial" w:eastAsia="Arial" w:hAnsi="Arial"/>
          <w:sz w:val="24"/>
          <w:szCs w:val="24"/>
        </w:rPr>
        <w:t xml:space="preserve">2) в рамках настоящего Проекта могут финансироваться все этапы производственного цикла, включая покупку основных и оборотных средств, а также финансирование фондов оплаты труда;</w:t>
      </w:r>
    </w:p>
    <w:p>
      <w:pPr>
        <w:spacing w:after="120"/>
        <w:jc w:val="both"/>
      </w:pPr>
      <w:r>
        <w:rPr>
          <w:rFonts w:ascii="Arial" w:cs="Arial" w:eastAsia="Arial" w:hAnsi="Arial"/>
          <w:sz w:val="24"/>
          <w:szCs w:val="24"/>
        </w:rPr>
        <w:t xml:space="preserve">3) хозяйствующие субъекты (предприятия пищевой и перерабатывающей промышленности) должны предоставить соответствующую смету в случае строительства, к примеру, зданий для завода, сооружений для животных, цехов для убоя, водоемов для рыбных хозяйств, помещений для заморозки, в соответствии с заявленным назначением кредита;</w:t>
      </w:r>
    </w:p>
    <w:p>
      <w:pPr>
        <w:spacing w:after="120"/>
        <w:jc w:val="both"/>
      </w:pPr>
      <w:r>
        <w:rPr>
          <w:rFonts w:ascii="Arial" w:cs="Arial" w:eastAsia="Arial" w:hAnsi="Arial"/>
          <w:sz w:val="24"/>
          <w:szCs w:val="24"/>
        </w:rPr>
        <w:t xml:space="preserve">4) приоритетом в данной категории являются хозяйствующие субъекты:</w:t>
      </w:r>
    </w:p>
    <w:p>
      <w:pPr>
        <w:spacing w:after="120"/>
        <w:jc w:val="both"/>
      </w:pPr>
      <w:r>
        <w:rPr>
          <w:rFonts w:ascii="Arial" w:cs="Arial" w:eastAsia="Arial" w:hAnsi="Arial"/>
          <w:sz w:val="24"/>
          <w:szCs w:val="24"/>
        </w:rPr>
        <w:t xml:space="preserve">- производящие сельскохозяйственную и пищевую продукцию;</w:t>
      </w:r>
    </w:p>
    <w:p>
      <w:pPr>
        <w:spacing w:after="120"/>
        <w:jc w:val="both"/>
      </w:pPr>
      <w:r>
        <w:rPr>
          <w:rFonts w:ascii="Arial" w:cs="Arial" w:eastAsia="Arial" w:hAnsi="Arial"/>
          <w:sz w:val="24"/>
          <w:szCs w:val="24"/>
        </w:rPr>
        <w:t xml:space="preserve">- заключившие договоры и/или контракты с местными производителями, участвующими в Проекте, на поставку сельскохозяйственной продукции (сырья).</w:t>
      </w:r>
    </w:p>
    <w:p>
      <w:pPr>
        <w:spacing w:after="120"/>
        <w:jc w:val="both"/>
      </w:pPr>
      <w:r>
        <w:rPr>
          <w:rFonts w:ascii="Arial" w:cs="Arial" w:eastAsia="Arial" w:hAnsi="Arial"/>
          <w:sz w:val="24"/>
          <w:szCs w:val="24"/>
        </w:rPr>
        <w:t xml:space="preserve">19. Условия для хозяйствующих субъектов категории "Промышленность, транспорт, экспортоориентированные и импортозамещающие предприятия, инновационная деятельность (создание новых предприятий или новых направлений деятельности)":</w:t>
      </w:r>
    </w:p>
    <w:p>
      <w:pPr>
        <w:spacing w:after="120"/>
        <w:jc w:val="both"/>
      </w:pPr>
      <w:r>
        <w:rPr>
          <w:rFonts w:ascii="Arial" w:cs="Arial" w:eastAsia="Arial" w:hAnsi="Arial"/>
          <w:sz w:val="24"/>
          <w:szCs w:val="24"/>
        </w:rPr>
        <w:t xml:space="preserve">1) к данной категории относятся хозяйствующие субъекты, занимающиеся:</w:t>
      </w:r>
    </w:p>
    <w:p>
      <w:pPr>
        <w:spacing w:after="120"/>
        <w:jc w:val="both"/>
      </w:pPr>
      <w:r>
        <w:rPr>
          <w:rFonts w:ascii="Arial" w:cs="Arial" w:eastAsia="Arial" w:hAnsi="Arial"/>
          <w:sz w:val="24"/>
          <w:szCs w:val="24"/>
        </w:rPr>
        <w:t xml:space="preserve">- приобретением, обновлением, расширением и модернизацией основных средств;</w:t>
      </w:r>
    </w:p>
    <w:p>
      <w:pPr>
        <w:spacing w:after="120"/>
        <w:jc w:val="both"/>
      </w:pPr>
      <w:r>
        <w:rPr>
          <w:rFonts w:ascii="Arial" w:cs="Arial" w:eastAsia="Arial" w:hAnsi="Arial"/>
          <w:sz w:val="24"/>
          <w:szCs w:val="24"/>
        </w:rPr>
        <w:t xml:space="preserve">- закупкой сырья, комплектующих, запасных частей;</w:t>
      </w:r>
    </w:p>
    <w:p>
      <w:pPr>
        <w:spacing w:after="120"/>
        <w:jc w:val="both"/>
      </w:pPr>
      <w:r>
        <w:rPr>
          <w:rFonts w:ascii="Arial" w:cs="Arial" w:eastAsia="Arial" w:hAnsi="Arial"/>
          <w:sz w:val="24"/>
          <w:szCs w:val="24"/>
        </w:rPr>
        <w:t xml:space="preserve">- приобретением, обновлением, расширением и модернизацией основных средств, закупкой товаров, сырья, комплектующих, запасных частей субъектами предпринимательской деятельности, применяющими компоненты цифровизации (электронные счета-фактуры, программные ККМ, маркировка товаров);</w:t>
      </w:r>
    </w:p>
    <w:p>
      <w:pPr>
        <w:spacing w:after="120"/>
        <w:jc w:val="both"/>
      </w:pPr>
      <w:r>
        <w:rPr>
          <w:rFonts w:ascii="Arial" w:cs="Arial" w:eastAsia="Arial" w:hAnsi="Arial"/>
          <w:sz w:val="24"/>
          <w:szCs w:val="24"/>
        </w:rPr>
        <w:t xml:space="preserve">- рефинансированием кредитов промышленных, обрабатывающих и перерабатывающих предприятий;</w:t>
      </w:r>
    </w:p>
    <w:p>
      <w:pPr>
        <w:spacing w:after="120"/>
        <w:jc w:val="both"/>
      </w:pPr>
      <w:r>
        <w:rPr>
          <w:rFonts w:ascii="Arial" w:cs="Arial" w:eastAsia="Arial" w:hAnsi="Arial"/>
          <w:sz w:val="24"/>
          <w:szCs w:val="24"/>
        </w:rPr>
        <w:t xml:space="preserve">2) субъектам, занимающимся внедрением цифровых технологий, рекомендуется предоставить бизнес-план с технико-экономическим обоснованием Проекта.</w:t>
      </w:r>
    </w:p>
    <w:p>
      <w:pPr>
        <w:spacing w:after="120"/>
        <w:jc w:val="both"/>
      </w:pPr>
      <w:r>
        <w:rPr>
          <w:rFonts w:ascii="Arial" w:cs="Arial" w:eastAsia="Arial" w:hAnsi="Arial"/>
          <w:sz w:val="24"/>
          <w:szCs w:val="24"/>
        </w:rPr>
        <w:t xml:space="preserve">20. Условия для хозяйствующих субъектов категории "Туризм":</w:t>
      </w:r>
    </w:p>
    <w:p>
      <w:pPr>
        <w:spacing w:after="120"/>
        <w:jc w:val="both"/>
      </w:pPr>
      <w:r>
        <w:rPr>
          <w:rFonts w:ascii="Arial" w:cs="Arial" w:eastAsia="Arial" w:hAnsi="Arial"/>
          <w:sz w:val="24"/>
          <w:szCs w:val="24"/>
        </w:rPr>
        <w:t xml:space="preserve">к данной категории относятся хозяйствующие субъекты, занимающиеся:</w:t>
      </w:r>
    </w:p>
    <w:p>
      <w:pPr>
        <w:spacing w:after="120"/>
        <w:jc w:val="both"/>
      </w:pPr>
      <w:r>
        <w:rPr>
          <w:rFonts w:ascii="Arial" w:cs="Arial" w:eastAsia="Arial" w:hAnsi="Arial"/>
          <w:sz w:val="24"/>
          <w:szCs w:val="24"/>
        </w:rPr>
        <w:t xml:space="preserve">- улучшением инфраструктуры туризма (дороги, отели, мотели, кафе и рестораны и т.п.);</w:t>
      </w:r>
    </w:p>
    <w:p>
      <w:pPr>
        <w:spacing w:after="120"/>
        <w:jc w:val="both"/>
      </w:pPr>
      <w:r>
        <w:rPr>
          <w:rFonts w:ascii="Arial" w:cs="Arial" w:eastAsia="Arial" w:hAnsi="Arial"/>
          <w:sz w:val="24"/>
          <w:szCs w:val="24"/>
        </w:rPr>
        <w:t xml:space="preserve">- развитием внутреннего туризма;</w:t>
      </w:r>
    </w:p>
    <w:p>
      <w:pPr>
        <w:spacing w:after="120"/>
        <w:jc w:val="both"/>
      </w:pPr>
      <w:r>
        <w:rPr>
          <w:rFonts w:ascii="Arial" w:cs="Arial" w:eastAsia="Arial" w:hAnsi="Arial"/>
          <w:sz w:val="24"/>
          <w:szCs w:val="24"/>
        </w:rPr>
        <w:t xml:space="preserve">- промоутингом в сфере туризма.</w:t>
      </w:r>
    </w:p>
    <w:p>
      <w:pPr>
        <w:spacing w:after="120"/>
        <w:jc w:val="both"/>
      </w:pPr>
      <w:r>
        <w:rPr>
          <w:rFonts w:ascii="Arial" w:cs="Arial" w:eastAsia="Arial" w:hAnsi="Arial"/>
          <w:sz w:val="24"/>
          <w:szCs w:val="24"/>
        </w:rPr>
        <w:t xml:space="preserve">21. Условия для хозяйствующих субъектов категории "Транспорт, торговля, сфера услуг, сфера образования":</w:t>
      </w:r>
    </w:p>
    <w:p>
      <w:pPr>
        <w:spacing w:after="120"/>
        <w:jc w:val="both"/>
      </w:pPr>
      <w:r>
        <w:rPr>
          <w:rFonts w:ascii="Arial" w:cs="Arial" w:eastAsia="Arial" w:hAnsi="Arial"/>
          <w:sz w:val="24"/>
          <w:szCs w:val="24"/>
        </w:rPr>
        <w:t xml:space="preserve">к данной категории относятся хозяйствующие субъекты, занимающиеся:</w:t>
      </w:r>
    </w:p>
    <w:p>
      <w:pPr>
        <w:spacing w:after="120"/>
        <w:jc w:val="both"/>
      </w:pPr>
      <w:r>
        <w:rPr>
          <w:rFonts w:ascii="Arial" w:cs="Arial" w:eastAsia="Arial" w:hAnsi="Arial"/>
          <w:sz w:val="24"/>
          <w:szCs w:val="24"/>
        </w:rPr>
        <w:t xml:space="preserve">1) предоставлением:</w:t>
      </w:r>
    </w:p>
    <w:p>
      <w:pPr>
        <w:spacing w:after="120"/>
        <w:jc w:val="both"/>
      </w:pPr>
      <w:r>
        <w:rPr>
          <w:rFonts w:ascii="Arial" w:cs="Arial" w:eastAsia="Arial" w:hAnsi="Arial"/>
          <w:sz w:val="24"/>
          <w:szCs w:val="24"/>
        </w:rPr>
        <w:t xml:space="preserve">- услуг в сфере обслуживания населения;</w:t>
      </w:r>
    </w:p>
    <w:p>
      <w:pPr>
        <w:spacing w:after="120"/>
        <w:jc w:val="both"/>
      </w:pPr>
      <w:r>
        <w:rPr>
          <w:rFonts w:ascii="Arial" w:cs="Arial" w:eastAsia="Arial" w:hAnsi="Arial"/>
          <w:sz w:val="24"/>
          <w:szCs w:val="24"/>
        </w:rPr>
        <w:t xml:space="preserve">- услуг в сфере обслуживания автотранспортных средств;</w:t>
      </w:r>
    </w:p>
    <w:p>
      <w:pPr>
        <w:spacing w:after="120"/>
        <w:jc w:val="both"/>
      </w:pPr>
      <w:r>
        <w:rPr>
          <w:rFonts w:ascii="Arial" w:cs="Arial" w:eastAsia="Arial" w:hAnsi="Arial"/>
          <w:sz w:val="24"/>
          <w:szCs w:val="24"/>
        </w:rPr>
        <w:t xml:space="preserve">- услуг в сфере образования (для детей и взрослых);</w:t>
      </w:r>
    </w:p>
    <w:p>
      <w:pPr>
        <w:spacing w:after="120"/>
        <w:jc w:val="both"/>
      </w:pPr>
      <w:r>
        <w:rPr>
          <w:rFonts w:ascii="Arial" w:cs="Arial" w:eastAsia="Arial" w:hAnsi="Arial"/>
          <w:sz w:val="24"/>
          <w:szCs w:val="24"/>
        </w:rPr>
        <w:t xml:space="preserve">- ветеринарных услуг;</w:t>
      </w:r>
    </w:p>
    <w:p>
      <w:pPr>
        <w:spacing w:after="120"/>
        <w:jc w:val="both"/>
      </w:pPr>
      <w:r>
        <w:rPr>
          <w:rFonts w:ascii="Arial" w:cs="Arial" w:eastAsia="Arial" w:hAnsi="Arial"/>
          <w:sz w:val="24"/>
          <w:szCs w:val="24"/>
        </w:rPr>
        <w:t xml:space="preserve">- консалтинговых услуг в сфере сельского хозяйства;</w:t>
      </w:r>
    </w:p>
    <w:p>
      <w:pPr>
        <w:spacing w:after="120"/>
        <w:jc w:val="both"/>
      </w:pPr>
      <w:r>
        <w:rPr>
          <w:rFonts w:ascii="Arial" w:cs="Arial" w:eastAsia="Arial" w:hAnsi="Arial"/>
          <w:sz w:val="24"/>
          <w:szCs w:val="24"/>
        </w:rPr>
        <w:t xml:space="preserve">- транспортных услуг;</w:t>
      </w:r>
    </w:p>
    <w:p>
      <w:pPr>
        <w:spacing w:after="120"/>
        <w:jc w:val="both"/>
      </w:pPr>
      <w:r>
        <w:rPr>
          <w:rFonts w:ascii="Arial" w:cs="Arial" w:eastAsia="Arial" w:hAnsi="Arial"/>
          <w:sz w:val="24"/>
          <w:szCs w:val="24"/>
        </w:rPr>
        <w:t xml:space="preserve">2) торговлей.</w:t>
      </w:r>
    </w:p>
    <w:p>
      <w:pPr>
        <w:spacing w:after="120"/>
        <w:jc w:val="both"/>
      </w:pPr>
      <w:r>
        <w:rPr>
          <w:rFonts w:ascii="Arial" w:cs="Arial" w:eastAsia="Arial" w:hAnsi="Arial"/>
          <w:sz w:val="24"/>
          <w:szCs w:val="24"/>
        </w:rPr>
        <w:t xml:space="preserve">22. Условия для хозяйствующих субъектов категории "Информационные технологии, производство защитных медицинских средств и средств индивидуальной защиты":</w:t>
      </w:r>
    </w:p>
    <w:p>
      <w:pPr>
        <w:spacing w:after="120"/>
        <w:jc w:val="both"/>
      </w:pPr>
      <w:r>
        <w:rPr>
          <w:rFonts w:ascii="Arial" w:cs="Arial" w:eastAsia="Arial" w:hAnsi="Arial"/>
          <w:sz w:val="24"/>
          <w:szCs w:val="24"/>
        </w:rPr>
        <w:t xml:space="preserve">к данной категории относятся хозяйствующие субъекты, занимающиеся:</w:t>
      </w:r>
    </w:p>
    <w:p>
      <w:pPr>
        <w:spacing w:after="120"/>
        <w:jc w:val="both"/>
      </w:pPr>
      <w:r>
        <w:rPr>
          <w:rFonts w:ascii="Arial" w:cs="Arial" w:eastAsia="Arial" w:hAnsi="Arial"/>
          <w:sz w:val="24"/>
          <w:szCs w:val="24"/>
        </w:rPr>
        <w:t xml:space="preserve">- производством защитных медицинских средств и средств индивидуальной защиты;</w:t>
      </w:r>
    </w:p>
    <w:p>
      <w:pPr>
        <w:spacing w:after="120"/>
        <w:jc w:val="both"/>
      </w:pPr>
      <w:r>
        <w:rPr>
          <w:rFonts w:ascii="Arial" w:cs="Arial" w:eastAsia="Arial" w:hAnsi="Arial"/>
          <w:sz w:val="24"/>
          <w:szCs w:val="24"/>
        </w:rPr>
        <w:t xml:space="preserve">- развитием компьютерной техники и иных высоких технологий, новейших средств коммуникации;</w:t>
      </w:r>
    </w:p>
    <w:p>
      <w:pPr>
        <w:spacing w:after="120"/>
        <w:jc w:val="both"/>
      </w:pPr>
      <w:r>
        <w:rPr>
          <w:rFonts w:ascii="Arial" w:cs="Arial" w:eastAsia="Arial" w:hAnsi="Arial"/>
          <w:sz w:val="24"/>
          <w:szCs w:val="24"/>
        </w:rPr>
        <w:t xml:space="preserve">- разработкой, внедрением, приобретением, улучшением программного обеспечения, в том числе баз данных и прикладного программного обеспечения;</w:t>
      </w:r>
    </w:p>
    <w:p>
      <w:pPr>
        <w:spacing w:after="120"/>
        <w:jc w:val="both"/>
      </w:pPr>
      <w:r>
        <w:rPr>
          <w:rFonts w:ascii="Arial" w:cs="Arial" w:eastAsia="Arial" w:hAnsi="Arial"/>
          <w:sz w:val="24"/>
          <w:szCs w:val="24"/>
        </w:rPr>
        <w:t xml:space="preserve">- внедрением инновационных технологий для развития сельского хозяйства.</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3. Описание реализации Проекта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23. Коммерческие банки, участвующие в Проекте, в течение 10 (десяти) дней после вступления в силу настоящего распоряжения должны подать в Министерство финансов Кыргызской Республики заявку на участие в реализации Проекта с обязательным указанием объема кредитования согласно приложению к Проекту, при этом ставка субсидирования не должна превышать 11,75 процента годовых.</w:t>
      </w:r>
    </w:p>
    <w:p>
      <w:pPr>
        <w:spacing w:after="120"/>
        <w:jc w:val="both"/>
      </w:pPr>
      <w:r>
        <w:rPr>
          <w:rFonts w:ascii="Arial" w:cs="Arial" w:eastAsia="Arial" w:hAnsi="Arial"/>
          <w:sz w:val="24"/>
          <w:szCs w:val="24"/>
        </w:rPr>
        <w:t xml:space="preserve">24. В целях надлежащего информирования населения Баткенской области о реализации Проекта коммерческие банки, участвующие в его реализации, должны опубликовать в средствах массовой информации, на информационных стендах и официальных сайтах коммерческих банков информацию об условиях кредитования, а также о периоде/времени, с которого начинается прием заявок на получение кредита по данному Проекту.</w:t>
      </w:r>
    </w:p>
    <w:p>
      <w:pPr>
        <w:spacing w:after="120"/>
        <w:jc w:val="both"/>
      </w:pPr>
      <w:r>
        <w:rPr>
          <w:rFonts w:ascii="Arial" w:cs="Arial" w:eastAsia="Arial" w:hAnsi="Arial"/>
          <w:sz w:val="24"/>
          <w:szCs w:val="24"/>
        </w:rPr>
        <w:t xml:space="preserve">25. Финансирование по Проекту предоставляется для жителей приграничных сел Баткенской области согласно пункту 5 настоящего Проекта (по прописке, фактическому проживанию, фактическому ведению хозяйства и т.д.).</w:t>
      </w:r>
    </w:p>
    <w:p>
      <w:pPr>
        <w:spacing w:after="120"/>
        <w:jc w:val="both"/>
      </w:pPr>
      <w:r>
        <w:rPr>
          <w:rFonts w:ascii="Arial" w:cs="Arial" w:eastAsia="Arial" w:hAnsi="Arial"/>
          <w:sz w:val="24"/>
          <w:szCs w:val="24"/>
        </w:rPr>
        <w:t xml:space="preserve">26. Для получения субсидий в рамках Проекта коммерческие банки на ежемесячной основе, до 10 числа каждого месяца, представляют в Министерство финансов Кыргызской Республики заявку на субсидирование с указанием фактической суммы кредитования за прошедший месяц.</w:t>
      </w:r>
    </w:p>
    <w:p>
      <w:pPr>
        <w:spacing w:after="120"/>
        <w:jc w:val="both"/>
      </w:pPr>
      <w:r>
        <w:rPr>
          <w:rFonts w:ascii="Arial" w:cs="Arial" w:eastAsia="Arial" w:hAnsi="Arial"/>
          <w:sz w:val="24"/>
          <w:szCs w:val="24"/>
        </w:rPr>
        <w:t xml:space="preserve">27. Министерство финансов Кыргызской Республики производит расчет суммы субсидий согласно расчетным коэффициентам и готовит финансовый план на соответствующий месяц для перечисления коммерческим банкам транша субсидий.</w:t>
      </w:r>
    </w:p>
    <w:p>
      <w:pPr>
        <w:spacing w:after="120"/>
        <w:jc w:val="both"/>
      </w:pPr>
      <w:r>
        <w:rPr>
          <w:rFonts w:ascii="Arial" w:cs="Arial" w:eastAsia="Arial" w:hAnsi="Arial"/>
          <w:sz w:val="24"/>
          <w:szCs w:val="24"/>
        </w:rPr>
        <w:t xml:space="preserve">28. Транши субсидий переводятся на расчетные счета коммерческих банков Министерством финансов Кыргызской Республики из средств республиканского бюджета в соответствии с внутренними актами Министерства финансов Кыргызской Республики.</w:t>
      </w:r>
    </w:p>
    <w:p>
      <w:pPr>
        <w:spacing w:after="120"/>
        <w:jc w:val="both"/>
      </w:pPr>
      <w:r>
        <w:rPr>
          <w:rFonts w:ascii="Arial" w:cs="Arial" w:eastAsia="Arial" w:hAnsi="Arial"/>
          <w:sz w:val="24"/>
          <w:szCs w:val="24"/>
        </w:rPr>
        <w:t xml:space="preserve">29. Надзор за деятельностью коммерческих банков осуществляется Национальным банком Кыргызской Республики в соответствии с банковским законодательством Кыргызской Республики.</w:t>
      </w:r>
    </w:p>
    <w:p>
      <w:pPr>
        <w:spacing w:after="120"/>
        <w:jc w:val="both"/>
      </w:pPr>
      <w:r>
        <w:rPr>
          <w:rFonts w:ascii="Arial" w:cs="Arial" w:eastAsia="Arial" w:hAnsi="Arial"/>
          <w:sz w:val="24"/>
          <w:szCs w:val="24"/>
        </w:rPr>
        <w:t xml:space="preserve">30. Коммерческие банки, участвующие в реализации Проекта, еженедельно предоставляют в Министерство финансов Кыргызской Республики информацию о выданных кредитах.</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4. Расчет субсидий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31. Ставка субсидирования составляет первые 3 года 11,75 процента годовых, последующие 2 года - 8,75 процента годовых. Для покрытия расходов коммерческих банков при предоставлении субсидий по процентным ставкам Кабинетом Министров Кыргызской Республики принимаются следующие расчетные коэффициенты субсидирования от ежемесячного объема кредитования коммерческих банков согласно данным Национального банка Кыргызской Республики за 10 месяцев 2021 года:</w:t>
      </w:r>
    </w:p>
    <w:p>
      <w:pPr>
        <w:spacing w:after="120"/>
        <w:jc w:val="both"/>
      </w:pPr>
      <w:r>
        <w:rPr>
          <w:rFonts w:ascii="Arial" w:cs="Arial" w:eastAsia="Arial" w:hAnsi="Arial"/>
          <w:sz w:val="24"/>
          <w:szCs w:val="24"/>
        </w:rPr>
        <w:t xml:space="preserve">1) ставка субсидирования составляет 11,75 процента годовых на 36 месяцев, 8,75 процента годовых на последующие 24 месяца остается неизменной;</w:t>
      </w:r>
    </w:p>
    <w:p>
      <w:pPr>
        <w:spacing w:after="120"/>
        <w:jc w:val="both"/>
      </w:pPr>
      <w:r>
        <w:rPr>
          <w:rFonts w:ascii="Arial" w:cs="Arial" w:eastAsia="Arial" w:hAnsi="Arial"/>
          <w:sz w:val="24"/>
          <w:szCs w:val="24"/>
        </w:rPr>
        <w:t xml:space="preserve">2) для кредитов, выдаваемых сроком на 60 месяцев, расчетный коэффициент субсидирования составляет 31,42. Из них часть субсидий перечисляется в 2022 году по расчетному коэффициенту 10,59; часть - в 2023 году по расчетному коэффициенту 10,14; часть - в 2024 году по расчетному коэффициенту 6,64; часть - в 2025 году по расчетному коэффициенту 3,00; часть - в 2026 году по расчетному коэффициенту 1,05;</w:t>
      </w:r>
    </w:p>
    <w:p>
      <w:pPr>
        <w:spacing w:after="120"/>
        <w:jc w:val="both"/>
      </w:pPr>
      <w:r>
        <w:rPr>
          <w:rFonts w:ascii="Arial" w:cs="Arial" w:eastAsia="Arial" w:hAnsi="Arial"/>
          <w:sz w:val="24"/>
          <w:szCs w:val="24"/>
        </w:rPr>
        <w:t xml:space="preserve">3) для кредитов, выдаваемых сроком на 48 месяцев, расчетный коэффициент субсидирования составляет 26,47. Из них часть субсидий перечисляется в 2022 году по расчетному коэффициенту 10,54; часть - в 2023 году по расчетному коэффициенту 9,40; часть - в 2024 году по расчетному коэффициенту 5,18; часть - в 2025 году по расчетному коэффициенту 1,35;</w:t>
      </w:r>
    </w:p>
    <w:p>
      <w:pPr>
        <w:spacing w:after="120"/>
        <w:jc w:val="both"/>
      </w:pPr>
      <w:r>
        <w:rPr>
          <w:rFonts w:ascii="Arial" w:cs="Arial" w:eastAsia="Arial" w:hAnsi="Arial"/>
          <w:sz w:val="24"/>
          <w:szCs w:val="24"/>
        </w:rPr>
        <w:t xml:space="preserve">4) для кредитов, выдаваемых сроком на 36 месяцев, расчетный коэффициент субсидирования составляет 21,05. Из них часть субсидий перечисляется в 2022 году по расчетному коэффициенту 10,44; часть - в 2023 году по расчетному коэффициенту 8,06; часть - в 2024 году по расчетному коэффициенту 2,55;</w:t>
      </w:r>
    </w:p>
    <w:p>
      <w:pPr>
        <w:spacing w:after="120"/>
        <w:jc w:val="both"/>
      </w:pPr>
      <w:r>
        <w:rPr>
          <w:rFonts w:ascii="Arial" w:cs="Arial" w:eastAsia="Arial" w:hAnsi="Arial"/>
          <w:sz w:val="24"/>
          <w:szCs w:val="24"/>
        </w:rPr>
        <w:t xml:space="preserve">5) для кредитов, выдаваемых сроком на 18 месяцев, расчетный коэффициент субсидирования составляет 12,23. Из них часть субсидий перечисляется в 2022 году по расчетному коэффициенту 9,95; часть - в 2023 году по расчетному коэффициенту 2,28;</w:t>
      </w:r>
    </w:p>
    <w:p>
      <w:pPr>
        <w:spacing w:after="120"/>
        <w:jc w:val="both"/>
      </w:pPr>
      <w:r>
        <w:rPr>
          <w:rFonts w:ascii="Arial" w:cs="Arial" w:eastAsia="Arial" w:hAnsi="Arial"/>
          <w:sz w:val="24"/>
          <w:szCs w:val="24"/>
        </w:rPr>
        <w:t xml:space="preserve">6) ежегодная сумма субсидирования рассчитывается Министерством финансов Кыргызской Республики. Коэффициент субсидирования может колебаться в зависимости от срока выдачи кредита, однако ставка субсидирования не превышает первые 3 года 11,75 процента годовых, последующие 2 года - 8,75 процента годовых.</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5. Перечисление субсидий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32. Суммы субсидий перечисляются коммерческим банкам Министерством финансов Кыргызской Республики из средств республиканского бюджета пятью траншами, в том числе:</w:t>
      </w:r>
    </w:p>
    <w:p>
      <w:pPr>
        <w:spacing w:after="120"/>
        <w:jc w:val="both"/>
      </w:pPr>
      <w:r>
        <w:rPr>
          <w:rFonts w:ascii="Arial" w:cs="Arial" w:eastAsia="Arial" w:hAnsi="Arial"/>
          <w:sz w:val="24"/>
          <w:szCs w:val="24"/>
        </w:rPr>
        <w:t xml:space="preserve">1) первый транш - на сумму фактически выданных коммерческими банками кредитных средств за прошедший квартал, субсидии перечисляются в конце каждого квартала;</w:t>
      </w:r>
    </w:p>
    <w:p>
      <w:pPr>
        <w:spacing w:after="120"/>
        <w:jc w:val="both"/>
      </w:pPr>
      <w:r>
        <w:rPr>
          <w:rFonts w:ascii="Arial" w:cs="Arial" w:eastAsia="Arial" w:hAnsi="Arial"/>
          <w:sz w:val="24"/>
          <w:szCs w:val="24"/>
        </w:rPr>
        <w:t xml:space="preserve">2) второй транш - по истечении 365 дней с момента выдачи первого транша;</w:t>
      </w:r>
    </w:p>
    <w:p>
      <w:pPr>
        <w:spacing w:after="120"/>
        <w:jc w:val="both"/>
      </w:pPr>
      <w:r>
        <w:rPr>
          <w:rFonts w:ascii="Arial" w:cs="Arial" w:eastAsia="Arial" w:hAnsi="Arial"/>
          <w:sz w:val="24"/>
          <w:szCs w:val="24"/>
        </w:rPr>
        <w:t xml:space="preserve">3) третий транш - по истечении 365 дней с момента выдачи второго транша;</w:t>
      </w:r>
    </w:p>
    <w:p>
      <w:pPr>
        <w:spacing w:after="120"/>
        <w:jc w:val="both"/>
      </w:pPr>
      <w:r>
        <w:rPr>
          <w:rFonts w:ascii="Arial" w:cs="Arial" w:eastAsia="Arial" w:hAnsi="Arial"/>
          <w:sz w:val="24"/>
          <w:szCs w:val="24"/>
        </w:rPr>
        <w:t xml:space="preserve">4) четвертый транш - по истечении 365 дней с момента выдачи третьего транша;</w:t>
      </w:r>
    </w:p>
    <w:p>
      <w:pPr>
        <w:spacing w:after="120"/>
        <w:jc w:val="both"/>
      </w:pPr>
      <w:r>
        <w:rPr>
          <w:rFonts w:ascii="Arial" w:cs="Arial" w:eastAsia="Arial" w:hAnsi="Arial"/>
          <w:sz w:val="24"/>
          <w:szCs w:val="24"/>
        </w:rPr>
        <w:t xml:space="preserve">5) пятый транш - по истечении 365 дней с момента выдачи четвертого транша.</w:t>
      </w:r>
    </w:p>
    <w:p>
      <w:pPr>
        <w:spacing w:after="120"/>
        <w:jc w:val="both"/>
      </w:pPr>
      <w:r>
        <w:rPr>
          <w:rFonts w:ascii="Arial" w:cs="Arial" w:eastAsia="Arial" w:hAnsi="Arial"/>
          <w:sz w:val="24"/>
          <w:szCs w:val="24"/>
        </w:rPr>
        <w:t xml:space="preserve">33. Коммерческие банки, участвующие в реализации Проекта, обязаны по истечении года со дня получения первого транша, а также по истечении года со дня получения остальных траншей представлять в Министерство финансов Кыргызской Республики подробную информацию о досрочных погашениях с указанием суммы, даты и количества заемщиков, производивших досрочные погашения. Для получения второго и последующих траншей субсидий коммерческие банки обязаны представлять заявки за минусом досрочно погашенных кредитов. Коммерческие банки несут ответственность за достоверность представляемой информации по выданным и досрочно погашенным кредитам.</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6. Риски и угрозы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34. При реализации Проекта имеется риск нецелевого использования средств получателями льготных кредитов.</w:t>
      </w:r>
    </w:p>
    <w:p>
      <w:pPr>
        <w:spacing w:after="120"/>
        <w:jc w:val="both"/>
      </w:pPr>
      <w:r>
        <w:rPr>
          <w:rFonts w:ascii="Arial" w:cs="Arial" w:eastAsia="Arial" w:hAnsi="Arial"/>
          <w:sz w:val="24"/>
          <w:szCs w:val="24"/>
        </w:rPr>
        <w:t xml:space="preserve">35. Минимизация указанного риска осуществляется коммерческими банками в установленном порядке.</w:t>
      </w:r>
    </w:p>
    <w:p>
      <w:pPr>
        <w:spacing w:after="120"/>
        <w:jc w:val="both"/>
      </w:pPr>
      <w:r>
        <w:rPr>
          <w:rFonts w:ascii="Arial" w:cs="Arial" w:eastAsia="Arial" w:hAnsi="Arial"/>
          <w:sz w:val="24"/>
          <w:szCs w:val="24"/>
        </w:rPr>
        <w:t xml:space="preserve">36. При обнаружении факта нецелевого использования кредитных средств коммерческие банки должны составить соответствующий акт, потребовать от заемщика досрочного погашения остатка неиспользованных кредитных средств или установить процентные ставки в размере 18 процентов годовых со дня получения кредита. В этом случае коммерческие банки обязуются вернуть Министерству финансов Кыргызской Республики полученные средства субсидий, кроме случаев досрочного погашения.</w:t>
      </w:r>
    </w:p>
    <w:p>
      <w:pPr>
        <w:spacing w:after="120"/>
        <w:jc w:val="both"/>
      </w:pPr>
      <w:r>
        <w:rPr>
          <w:rFonts w:ascii="Arial" w:cs="Arial" w:eastAsia="Arial" w:hAnsi="Arial"/>
          <w:sz w:val="24"/>
          <w:szCs w:val="24"/>
        </w:rPr>
        <w:t xml:space="preserve">37. В целях минимизации риска необоснованного получения субсидий коммерческими банками:</w:t>
      </w:r>
    </w:p>
    <w:p>
      <w:pPr>
        <w:spacing w:after="120"/>
        <w:jc w:val="both"/>
      </w:pPr>
      <w:r>
        <w:rPr>
          <w:rFonts w:ascii="Arial" w:cs="Arial" w:eastAsia="Arial" w:hAnsi="Arial"/>
          <w:sz w:val="24"/>
          <w:szCs w:val="24"/>
        </w:rPr>
        <w:t xml:space="preserve">1) Национальный банк в установленном порядке осуществляет надзор за деятельностью коммерческих банков на предмет соблюдения требований законодательства;</w:t>
      </w:r>
    </w:p>
    <w:p>
      <w:pPr>
        <w:spacing w:after="120"/>
        <w:jc w:val="both"/>
      </w:pPr>
      <w:r>
        <w:rPr>
          <w:rFonts w:ascii="Arial" w:cs="Arial" w:eastAsia="Arial" w:hAnsi="Arial"/>
          <w:sz w:val="24"/>
          <w:szCs w:val="24"/>
        </w:rPr>
        <w:t xml:space="preserve">2) Министерством финансов Кыргызской Республики совместно со Счетной палатой Кыргызской Республики осуществляется проверка целевого использования кредитов и финансирования, в том числе в соответствии с исламскими принципами;</w:t>
      </w:r>
    </w:p>
    <w:p>
      <w:pPr>
        <w:spacing w:after="120"/>
        <w:jc w:val="both"/>
      </w:pPr>
      <w:r>
        <w:rPr>
          <w:rFonts w:ascii="Arial" w:cs="Arial" w:eastAsia="Arial" w:hAnsi="Arial"/>
          <w:sz w:val="24"/>
          <w:szCs w:val="24"/>
        </w:rPr>
        <w:t xml:space="preserve">3) при обнаружении факта намеренного нецелевого использования коммерческими банками субсидируемых кредитных средств Министерство финансов Кыргызской Республики вправе в одностороннем порядке приостановить дальнейшее субсидирование и применить финансовые санкции путем начисления штрафа к траншу субсидии (со дня перечисления) по процентной ставке в размере 18 процентов годовых. Суммы начисленных штрафов и перечисленных траншей субсидий должны быть возвращены Министерству финансов Кыргызской Республики в течение 30 (тридцати) календарных дней со дня обнаружения факта нецелевого использования субсидий.</w:t>
      </w:r>
    </w:p>
    <w:p>
      <w:pPr>
        <w:spacing w:after="120"/>
        <w:jc w:val="both"/>
      </w:pPr>
      <w:r>
        <w:rPr>
          <w:rFonts w:ascii="Arial" w:cs="Arial" w:eastAsia="Arial" w:hAnsi="Arial"/>
          <w:sz w:val="24"/>
          <w:szCs w:val="24"/>
        </w:rPr>
        <w:t xml:space="preserve">38. При наступлении форс-мажорных обстоятельств, таких как стихийные бедствия (пожар, наводнение, землетрясение или иные природные или техногенные катастрофы), война, военные действия любого рода, приграничные конфликтные ситуации, эпидемии, введение чрезвычайного положения, массовые беспорядки, а также иных обстоятельств, коммерческие банки самостоятельно принимают меры по их минимизации в порядке, установленном законодательством Кыргызской Республики.</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7. Мониторинг целевого использования кредитных средств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39. Мониторинг целевого использования кредитных средств будет осуществляться коммерческими банками следующим образом:</w:t>
      </w:r>
    </w:p>
    <w:p>
      <w:pPr>
        <w:spacing w:after="120"/>
        <w:jc w:val="both"/>
      </w:pPr>
      <w:r>
        <w:rPr>
          <w:rFonts w:ascii="Arial" w:cs="Arial" w:eastAsia="Arial" w:hAnsi="Arial"/>
          <w:sz w:val="24"/>
          <w:szCs w:val="24"/>
        </w:rPr>
        <w:t xml:space="preserve">1) в течение 2 (двух) месяцев с момента получения кредита заемщики должны представлять отчеты о целевом использовании кредитных средств с приложением документального подтверждения (контракты/договоры, счета-фактуры и/или накладные, платежные документы об оплате и др.) произведенных расходов по кредиту;</w:t>
      </w:r>
    </w:p>
    <w:p>
      <w:pPr>
        <w:spacing w:after="120"/>
        <w:jc w:val="both"/>
      </w:pPr>
      <w:r>
        <w:rPr>
          <w:rFonts w:ascii="Arial" w:cs="Arial" w:eastAsia="Arial" w:hAnsi="Arial"/>
          <w:sz w:val="24"/>
          <w:szCs w:val="24"/>
        </w:rPr>
        <w:t xml:space="preserve">2) в течение 3 (трех) месяцев, следующих после получения отчета от заемщика о целевом использовании кредитных средств, уполномоченные сотрудники коммерческих банков с выездом на место будут осуществлять мониторинг с оформлением отчета о результатах проверки;</w:t>
      </w:r>
    </w:p>
    <w:p>
      <w:pPr>
        <w:spacing w:after="120"/>
        <w:jc w:val="both"/>
      </w:pPr>
      <w:r>
        <w:rPr>
          <w:rFonts w:ascii="Arial" w:cs="Arial" w:eastAsia="Arial" w:hAnsi="Arial"/>
          <w:sz w:val="24"/>
          <w:szCs w:val="24"/>
        </w:rPr>
        <w:t xml:space="preserve">3) коммерческие банки, участвующие в реализации Проекта, обязаны включить в систему электронной очередности прием заявок от клиентов на получение кредитных средств.</w:t>
      </w:r>
    </w:p>
    <w:p>
      <w:pPr>
        <w:spacing w:after="120"/>
        <w:jc w:val="both"/>
      </w:pPr>
      <w:r>
        <w:rPr>
          <w:rFonts w:ascii="Arial" w:cs="Arial" w:eastAsia="Arial" w:hAnsi="Arial"/>
          <w:sz w:val="24"/>
          <w:szCs w:val="24"/>
        </w:rPr>
        <w:t xml:space="preserve">40. Заемщики обязаны представить и другие документы, подтверждающие целевое использование кредитов.</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8. Оценка эффективности Проекта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41. В целях оценки эффективности использования кредитных средств коммерческие банки и полномочный представитель Президента Кыргызской Республики в Баткенской области по результатам реализации Проекта на конец календарного года представляют в Министерство экономики и коммерции Кыргызской Республики и Министерство сельского хозяйства Кыргызской Республики агрегированную информацию о целевом использовании заемщиками кредита по следующим основным показателям (до и после выдачи кредита):</w:t>
      </w:r>
    </w:p>
    <w:p>
      <w:pPr>
        <w:spacing w:after="120"/>
        <w:jc w:val="both"/>
      </w:pPr>
      <w:r>
        <w:rPr>
          <w:rFonts w:ascii="Arial" w:cs="Arial" w:eastAsia="Arial" w:hAnsi="Arial"/>
          <w:sz w:val="24"/>
          <w:szCs w:val="24"/>
        </w:rPr>
        <w:t xml:space="preserve">1) объем выданных кредитных средств в разрезе приграничных населенных пунктов и категорий, указанных в главе 2 настоящего Проекта;</w:t>
      </w:r>
    </w:p>
    <w:p>
      <w:pPr>
        <w:spacing w:after="120"/>
        <w:jc w:val="both"/>
      </w:pPr>
      <w:r>
        <w:rPr>
          <w:rFonts w:ascii="Arial" w:cs="Arial" w:eastAsia="Arial" w:hAnsi="Arial"/>
          <w:sz w:val="24"/>
          <w:szCs w:val="24"/>
        </w:rPr>
        <w:t xml:space="preserve">2) количество созданных рабочих мест в результате реализации Проекта;</w:t>
      </w:r>
    </w:p>
    <w:p>
      <w:pPr>
        <w:spacing w:after="120"/>
        <w:jc w:val="both"/>
      </w:pPr>
      <w:r>
        <w:rPr>
          <w:rFonts w:ascii="Arial" w:cs="Arial" w:eastAsia="Arial" w:hAnsi="Arial"/>
          <w:sz w:val="24"/>
          <w:szCs w:val="24"/>
        </w:rPr>
        <w:t xml:space="preserve">3) количество производств, созданных в результате реализации Проекта, в том числе сельскохозяйственных кооперативов и обрабатывающих (перерабатывающих) предприятий;</w:t>
      </w:r>
    </w:p>
    <w:p>
      <w:pPr>
        <w:spacing w:after="120"/>
        <w:jc w:val="both"/>
      </w:pPr>
      <w:r>
        <w:rPr>
          <w:rFonts w:ascii="Arial" w:cs="Arial" w:eastAsia="Arial" w:hAnsi="Arial"/>
          <w:sz w:val="24"/>
          <w:szCs w:val="24"/>
        </w:rPr>
        <w:t xml:space="preserve">4) количество действующих предприятий в результате реализации Проекта и объем их производства;</w:t>
      </w:r>
    </w:p>
    <w:p>
      <w:pPr>
        <w:spacing w:after="120"/>
        <w:jc w:val="both"/>
      </w:pPr>
      <w:r>
        <w:rPr>
          <w:rFonts w:ascii="Arial" w:cs="Arial" w:eastAsia="Arial" w:hAnsi="Arial"/>
          <w:sz w:val="24"/>
          <w:szCs w:val="24"/>
        </w:rPr>
        <w:t xml:space="preserve">5) количество реанимированных предприятий, которые ранее простаивали, и объем их производства;</w:t>
      </w:r>
    </w:p>
    <w:p>
      <w:pPr>
        <w:spacing w:after="120"/>
        <w:jc w:val="both"/>
      </w:pPr>
      <w:r>
        <w:rPr>
          <w:rFonts w:ascii="Arial" w:cs="Arial" w:eastAsia="Arial" w:hAnsi="Arial"/>
          <w:sz w:val="24"/>
          <w:szCs w:val="24"/>
        </w:rPr>
        <w:t xml:space="preserve">6) общий объем производства и продаж;</w:t>
      </w:r>
    </w:p>
    <w:p>
      <w:pPr>
        <w:spacing w:after="120"/>
        <w:jc w:val="both"/>
      </w:pPr>
      <w:r>
        <w:rPr>
          <w:rFonts w:ascii="Arial" w:cs="Arial" w:eastAsia="Arial" w:hAnsi="Arial"/>
          <w:sz w:val="24"/>
          <w:szCs w:val="24"/>
        </w:rPr>
        <w:t xml:space="preserve">7) общий объем экспорта;</w:t>
      </w:r>
    </w:p>
    <w:p>
      <w:pPr>
        <w:spacing w:after="120"/>
        <w:jc w:val="both"/>
      </w:pPr>
      <w:r>
        <w:rPr>
          <w:rFonts w:ascii="Arial" w:cs="Arial" w:eastAsia="Arial" w:hAnsi="Arial"/>
          <w:sz w:val="24"/>
          <w:szCs w:val="24"/>
        </w:rPr>
        <w:t xml:space="preserve">8) количество, вид и сумма финансовых средств, использованных для приобретения оборудования в результате реализации Проекта.</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
 к проекту "Льготное финансирование Баткенской области"</w:t>
      </w:r>
    </w:p>
    <w:p>
      <w:pPr>
        <w:spacing w:after="120"/>
        <w:jc w:val="center"/>
      </w:pPr>
      <w:r>
        <w:rPr>
          <w:rFonts w:ascii="Arial" w:cs="Arial" w:eastAsia="Arial" w:hAnsi="Arial"/>
          <w:sz w:val="24"/>
          <w:szCs w:val="24"/>
        </w:rPr>
        <w:t xml:space="preserve">ПЕРЕЧЕНЬ
 населенных пунктов, подлежащих льготному финансированию в Баткенской области</w:t>
      </w:r>
    </w:p>
    <w:p>
      <w:pPr>
        <w:spacing w:after="120"/>
        <w:jc w:val="center"/>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06"/>
        <w:gridCol w:w="4106"/>
        <w:gridCol w:w="5067"/>
      </w:tblGrid>
      <w:tr>
        <w:tc>
          <w:tcPr>
            <w:tcW w:type="dxa" w:w="1006"/>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410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Наименование</w:t>
            </w:r>
          </w:p>
        </w:tc>
        <w:tc>
          <w:tcPr>
            <w:tcW w:type="dxa" w:w="506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Населенный пункт</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Всего по Баткенской области 130</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Баткенский район (47)</w:t>
            </w:r>
          </w:p>
        </w:tc>
      </w:tr>
      <w:tr>
        <w:tc>
          <w:tcPr>
            <w:tcW w:type="dxa" w:w="100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41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Баткен</w:t>
            </w:r>
          </w:p>
        </w:tc>
        <w:tc>
          <w:tcPr>
            <w:tcW w:type="dxa" w:w="50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г.Баткен</w:t>
            </w:r>
          </w:p>
        </w:tc>
      </w:tr>
      <w:tr>
        <w:tc>
          <w:tcPr>
            <w:tcW w:type="dxa" w:w="100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41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Дара</w:t>
            </w:r>
          </w:p>
        </w:tc>
        <w:tc>
          <w:tcPr>
            <w:tcW w:type="dxa" w:w="50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Чек</w:t>
            </w:r>
          </w:p>
        </w:tc>
      </w:tr>
      <w:tr>
        <w:tc>
          <w:tcPr>
            <w:tcW w:type="dxa" w:w="100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Жаны-Жер</w:t>
            </w:r>
          </w:p>
        </w:tc>
      </w:tr>
      <w:tr>
        <w:tc>
          <w:tcPr>
            <w:tcW w:type="dxa" w:w="100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Тунук-Суу</w:t>
            </w:r>
          </w:p>
        </w:tc>
      </w:tr>
      <w:tr>
        <w:tc>
          <w:tcPr>
            <w:tcW w:type="dxa" w:w="100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Кан</w:t>
            </w:r>
          </w:p>
        </w:tc>
      </w:tr>
      <w:tr>
        <w:tc>
          <w:tcPr>
            <w:tcW w:type="dxa" w:w="100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Сары-Талаа</w:t>
            </w:r>
          </w:p>
        </w:tc>
      </w:tr>
      <w:tr>
        <w:tc>
          <w:tcPr>
            <w:tcW w:type="dxa" w:w="100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Жанырык</w:t>
            </w:r>
          </w:p>
        </w:tc>
      </w:tr>
      <w:tr>
        <w:tc>
          <w:tcPr>
            <w:tcW w:type="dxa" w:w="100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Табылга</w:t>
            </w:r>
          </w:p>
        </w:tc>
      </w:tr>
      <w:tr>
        <w:tc>
          <w:tcPr>
            <w:tcW w:type="dxa" w:w="100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Коргон-Таш</w:t>
            </w:r>
          </w:p>
        </w:tc>
      </w:tr>
      <w:tr>
        <w:tc>
          <w:tcPr>
            <w:tcW w:type="dxa" w:w="100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Кайынды</w:t>
            </w:r>
          </w:p>
        </w:tc>
      </w:tr>
      <w:tr>
        <w:tc>
          <w:tcPr>
            <w:tcW w:type="dxa" w:w="100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41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Кыштут</w:t>
            </w:r>
          </w:p>
        </w:tc>
        <w:tc>
          <w:tcPr>
            <w:tcW w:type="dxa" w:w="50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Таян</w:t>
            </w:r>
          </w:p>
        </w:tc>
      </w:tr>
      <w:tr>
        <w:tc>
          <w:tcPr>
            <w:tcW w:type="dxa" w:w="100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Газ</w:t>
            </w:r>
          </w:p>
        </w:tc>
      </w:tr>
      <w:tr>
        <w:tc>
          <w:tcPr>
            <w:tcW w:type="dxa" w:w="100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Согмент</w:t>
            </w:r>
          </w:p>
        </w:tc>
      </w:tr>
      <w:tr>
        <w:tc>
          <w:tcPr>
            <w:tcW w:type="dxa" w:w="100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Кыштут</w:t>
            </w:r>
          </w:p>
        </w:tc>
      </w:tr>
      <w:tr>
        <w:tc>
          <w:tcPr>
            <w:tcW w:type="dxa" w:w="100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Чарбак</w:t>
            </w:r>
          </w:p>
        </w:tc>
      </w:tr>
      <w:tr>
        <w:tc>
          <w:tcPr>
            <w:tcW w:type="dxa" w:w="100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Сай</w:t>
            </w:r>
          </w:p>
        </w:tc>
      </w:tr>
      <w:tr>
        <w:tc>
          <w:tcPr>
            <w:tcW w:type="dxa" w:w="100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41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Ак-Сай</w:t>
            </w:r>
          </w:p>
        </w:tc>
        <w:tc>
          <w:tcPr>
            <w:tcW w:type="dxa" w:w="50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Аксай</w:t>
            </w:r>
          </w:p>
        </w:tc>
      </w:tr>
      <w:tr>
        <w:tc>
          <w:tcPr>
            <w:tcW w:type="dxa" w:w="100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Кокташ</w:t>
            </w:r>
          </w:p>
        </w:tc>
      </w:tr>
      <w:tr>
        <w:tc>
          <w:tcPr>
            <w:tcW w:type="dxa" w:w="100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Таштумшук</w:t>
            </w:r>
          </w:p>
        </w:tc>
      </w:tr>
      <w:tr>
        <w:tc>
          <w:tcPr>
            <w:tcW w:type="dxa" w:w="100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Учдобо</w:t>
            </w:r>
          </w:p>
        </w:tc>
      </w:tr>
      <w:tr>
        <w:tc>
          <w:tcPr>
            <w:tcW w:type="dxa" w:w="100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Капчыгай</w:t>
            </w:r>
          </w:p>
        </w:tc>
      </w:tr>
      <w:tr>
        <w:tc>
          <w:tcPr>
            <w:tcW w:type="dxa" w:w="100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Мин-Булак</w:t>
            </w:r>
          </w:p>
        </w:tc>
      </w:tr>
      <w:tr>
        <w:tc>
          <w:tcPr>
            <w:tcW w:type="dxa" w:w="100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41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Ак-Татыр</w:t>
            </w:r>
          </w:p>
        </w:tc>
        <w:tc>
          <w:tcPr>
            <w:tcW w:type="dxa" w:w="50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Актатыр</w:t>
            </w:r>
          </w:p>
        </w:tc>
      </w:tr>
      <w:tr>
        <w:tc>
          <w:tcPr>
            <w:tcW w:type="dxa" w:w="100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Рават</w:t>
            </w:r>
          </w:p>
        </w:tc>
      </w:tr>
      <w:tr>
        <w:tc>
          <w:tcPr>
            <w:tcW w:type="dxa" w:w="100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Ортобоз</w:t>
            </w:r>
          </w:p>
        </w:tc>
      </w:tr>
      <w:tr>
        <w:tc>
          <w:tcPr>
            <w:tcW w:type="dxa" w:w="100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41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Карабак</w:t>
            </w:r>
          </w:p>
        </w:tc>
        <w:tc>
          <w:tcPr>
            <w:tcW w:type="dxa" w:w="50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Карабак</w:t>
            </w:r>
          </w:p>
        </w:tc>
      </w:tr>
      <w:tr>
        <w:tc>
          <w:tcPr>
            <w:tcW w:type="dxa" w:w="100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Четкызыл</w:t>
            </w:r>
          </w:p>
        </w:tc>
      </w:tr>
      <w:tr>
        <w:tc>
          <w:tcPr>
            <w:tcW w:type="dxa" w:w="100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Добо</w:t>
            </w:r>
          </w:p>
        </w:tc>
      </w:tr>
      <w:tr>
        <w:tc>
          <w:tcPr>
            <w:tcW w:type="dxa" w:w="100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Кызылбел</w:t>
            </w:r>
          </w:p>
        </w:tc>
      </w:tr>
      <w:tr>
        <w:tc>
          <w:tcPr>
            <w:tcW w:type="dxa" w:w="100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Бай-Карабак</w:t>
            </w:r>
          </w:p>
        </w:tc>
      </w:tr>
      <w:tr>
        <w:tc>
          <w:tcPr>
            <w:tcW w:type="dxa" w:w="100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Достук</w:t>
            </w:r>
          </w:p>
        </w:tc>
      </w:tr>
      <w:tr>
        <w:tc>
          <w:tcPr>
            <w:tcW w:type="dxa" w:w="100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Зардалы</w:t>
            </w:r>
          </w:p>
        </w:tc>
      </w:tr>
      <w:tr>
        <w:tc>
          <w:tcPr>
            <w:tcW w:type="dxa" w:w="100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41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Карабулак</w:t>
            </w:r>
          </w:p>
        </w:tc>
        <w:tc>
          <w:tcPr>
            <w:tcW w:type="dxa" w:w="50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Бужум</w:t>
            </w:r>
          </w:p>
        </w:tc>
      </w:tr>
      <w:tr>
        <w:tc>
          <w:tcPr>
            <w:tcW w:type="dxa" w:w="100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Карабулак</w:t>
            </w:r>
          </w:p>
        </w:tc>
      </w:tr>
      <w:tr>
        <w:tc>
          <w:tcPr>
            <w:tcW w:type="dxa" w:w="100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41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Суу-Башы</w:t>
            </w:r>
          </w:p>
        </w:tc>
        <w:tc>
          <w:tcPr>
            <w:tcW w:type="dxa" w:w="50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Боз-Адыр</w:t>
            </w:r>
          </w:p>
        </w:tc>
      </w:tr>
      <w:tr>
        <w:tc>
          <w:tcPr>
            <w:tcW w:type="dxa" w:w="100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Кара-Токой</w:t>
            </w:r>
          </w:p>
        </w:tc>
      </w:tr>
      <w:tr>
        <w:tc>
          <w:tcPr>
            <w:tcW w:type="dxa" w:w="100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Апкан</w:t>
            </w:r>
          </w:p>
        </w:tc>
      </w:tr>
      <w:tr>
        <w:tc>
          <w:tcPr>
            <w:tcW w:type="dxa" w:w="100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Божой</w:t>
            </w:r>
          </w:p>
        </w:tc>
      </w:tr>
      <w:tr>
        <w:tc>
          <w:tcPr>
            <w:tcW w:type="dxa" w:w="100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Айгулташ</w:t>
            </w:r>
          </w:p>
        </w:tc>
      </w:tr>
      <w:tr>
        <w:tc>
          <w:tcPr>
            <w:tcW w:type="dxa" w:w="100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41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Самаркандек</w:t>
            </w:r>
          </w:p>
        </w:tc>
        <w:tc>
          <w:tcPr>
            <w:tcW w:type="dxa" w:w="50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Самаркандек</w:t>
            </w:r>
          </w:p>
        </w:tc>
      </w:tr>
      <w:tr>
        <w:tc>
          <w:tcPr>
            <w:tcW w:type="dxa" w:w="100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Жаныбак</w:t>
            </w:r>
          </w:p>
        </w:tc>
      </w:tr>
      <w:tr>
        <w:tc>
          <w:tcPr>
            <w:tcW w:type="dxa" w:w="100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Паскы арык</w:t>
            </w:r>
          </w:p>
        </w:tc>
      </w:tr>
      <w:tr>
        <w:tc>
          <w:tcPr>
            <w:tcW w:type="dxa" w:w="100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Мин-Орук</w:t>
            </w:r>
          </w:p>
        </w:tc>
      </w:tr>
      <w:tr>
        <w:tc>
          <w:tcPr>
            <w:tcW w:type="dxa" w:w="100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41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Торт-Гул</w:t>
            </w:r>
          </w:p>
        </w:tc>
        <w:tc>
          <w:tcPr>
            <w:tcW w:type="dxa" w:w="50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Чон-Талаа</w:t>
            </w:r>
          </w:p>
        </w:tc>
      </w:tr>
      <w:tr>
        <w:tc>
          <w:tcPr>
            <w:tcW w:type="dxa" w:w="100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Чонкара</w:t>
            </w:r>
          </w:p>
        </w:tc>
      </w:tr>
      <w:tr>
        <w:tc>
          <w:tcPr>
            <w:tcW w:type="dxa" w:w="100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Зарташ</w:t>
            </w:r>
          </w:p>
        </w:tc>
      </w:tr>
      <w:tr>
        <w:tc>
          <w:tcPr>
            <w:tcW w:type="dxa" w:w="100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Актурпак</w:t>
            </w:r>
          </w:p>
        </w:tc>
      </w:tr>
      <w:tr>
        <w:tc>
          <w:tcPr>
            <w:tcW w:type="dxa" w:w="100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Ак-Оток</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Лейлекский район (48)</w:t>
            </w:r>
          </w:p>
        </w:tc>
      </w:tr>
      <w:tr>
        <w:tc>
          <w:tcPr>
            <w:tcW w:type="dxa" w:w="100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41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мэрия г.Раззаков</w:t>
            </w:r>
          </w:p>
        </w:tc>
        <w:tc>
          <w:tcPr>
            <w:tcW w:type="dxa" w:w="50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Мырза-Патча</w:t>
            </w:r>
          </w:p>
        </w:tc>
      </w:tr>
      <w:tr>
        <w:tc>
          <w:tcPr>
            <w:tcW w:type="dxa" w:w="100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Самат</w:t>
            </w:r>
          </w:p>
        </w:tc>
      </w:tr>
      <w:tr>
        <w:tc>
          <w:tcPr>
            <w:tcW w:type="dxa" w:w="100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Чимген</w:t>
            </w:r>
          </w:p>
        </w:tc>
      </w:tr>
      <w:tr>
        <w:tc>
          <w:tcPr>
            <w:tcW w:type="dxa" w:w="100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Тайлан</w:t>
            </w:r>
          </w:p>
        </w:tc>
      </w:tr>
      <w:tr>
        <w:tc>
          <w:tcPr>
            <w:tcW w:type="dxa" w:w="100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Ак-Булак</w:t>
            </w:r>
          </w:p>
        </w:tc>
      </w:tr>
      <w:tr>
        <w:tc>
          <w:tcPr>
            <w:tcW w:type="dxa" w:w="100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Голбо</w:t>
            </w:r>
          </w:p>
        </w:tc>
      </w:tr>
      <w:tr>
        <w:tc>
          <w:tcPr>
            <w:tcW w:type="dxa" w:w="100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г.Раззаков</w:t>
            </w:r>
          </w:p>
        </w:tc>
      </w:tr>
      <w:tr>
        <w:tc>
          <w:tcPr>
            <w:tcW w:type="dxa" w:w="100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41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Кулунду</w:t>
            </w:r>
          </w:p>
        </w:tc>
        <w:tc>
          <w:tcPr>
            <w:tcW w:type="dxa" w:w="50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Интернационал</w:t>
            </w:r>
          </w:p>
        </w:tc>
      </w:tr>
      <w:tr>
        <w:tc>
          <w:tcPr>
            <w:tcW w:type="dxa" w:w="100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Кулунду</w:t>
            </w:r>
          </w:p>
        </w:tc>
      </w:tr>
      <w:tr>
        <w:tc>
          <w:tcPr>
            <w:tcW w:type="dxa" w:w="100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им.Раззакова</w:t>
            </w:r>
          </w:p>
        </w:tc>
      </w:tr>
      <w:tr>
        <w:tc>
          <w:tcPr>
            <w:tcW w:type="dxa" w:w="100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Акарык</w:t>
            </w:r>
          </w:p>
        </w:tc>
      </w:tr>
      <w:tr>
        <w:tc>
          <w:tcPr>
            <w:tcW w:type="dxa" w:w="100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Булак-Башы</w:t>
            </w:r>
          </w:p>
        </w:tc>
      </w:tr>
      <w:tr>
        <w:tc>
          <w:tcPr>
            <w:tcW w:type="dxa" w:w="100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Максат</w:t>
            </w:r>
          </w:p>
        </w:tc>
      </w:tr>
      <w:tr>
        <w:tc>
          <w:tcPr>
            <w:tcW w:type="dxa" w:w="100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41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Бешкент</w:t>
            </w:r>
          </w:p>
        </w:tc>
        <w:tc>
          <w:tcPr>
            <w:tcW w:type="dxa" w:w="50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Андархам</w:t>
            </w:r>
          </w:p>
        </w:tc>
      </w:tr>
      <w:tr>
        <w:tc>
          <w:tcPr>
            <w:tcW w:type="dxa" w:w="100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Бешкент</w:t>
            </w:r>
          </w:p>
        </w:tc>
      </w:tr>
      <w:tr>
        <w:tc>
          <w:tcPr>
            <w:tcW w:type="dxa" w:w="100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Лайлы</w:t>
            </w:r>
          </w:p>
        </w:tc>
      </w:tr>
      <w:tr>
        <w:tc>
          <w:tcPr>
            <w:tcW w:type="dxa" w:w="100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Кайрагач</w:t>
            </w:r>
          </w:p>
        </w:tc>
      </w:tr>
      <w:tr>
        <w:tc>
          <w:tcPr>
            <w:tcW w:type="dxa" w:w="100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Эски-Оочу</w:t>
            </w:r>
          </w:p>
        </w:tc>
      </w:tr>
      <w:tr>
        <w:tc>
          <w:tcPr>
            <w:tcW w:type="dxa" w:w="100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w:t>
            </w:r>
          </w:p>
        </w:tc>
        <w:tc>
          <w:tcPr>
            <w:tcW w:type="dxa" w:w="41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Маргун</w:t>
            </w:r>
          </w:p>
        </w:tc>
        <w:tc>
          <w:tcPr>
            <w:tcW w:type="dxa" w:w="50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Дархум</w:t>
            </w:r>
          </w:p>
        </w:tc>
      </w:tr>
      <w:tr>
        <w:tc>
          <w:tcPr>
            <w:tcW w:type="dxa" w:w="100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Даргаз</w:t>
            </w:r>
          </w:p>
        </w:tc>
      </w:tr>
      <w:tr>
        <w:tc>
          <w:tcPr>
            <w:tcW w:type="dxa" w:w="100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Маргун</w:t>
            </w:r>
          </w:p>
        </w:tc>
      </w:tr>
      <w:tr>
        <w:tc>
          <w:tcPr>
            <w:tcW w:type="dxa" w:w="100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Чурбек</w:t>
            </w:r>
          </w:p>
        </w:tc>
      </w:tr>
      <w:tr>
        <w:tc>
          <w:tcPr>
            <w:tcW w:type="dxa" w:w="100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41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Жаны-Жер</w:t>
            </w:r>
          </w:p>
        </w:tc>
        <w:tc>
          <w:tcPr>
            <w:tcW w:type="dxa" w:w="50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Борбордук</w:t>
            </w:r>
          </w:p>
        </w:tc>
      </w:tr>
      <w:tr>
        <w:tc>
          <w:tcPr>
            <w:tcW w:type="dxa" w:w="100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Арка</w:t>
            </w:r>
          </w:p>
        </w:tc>
      </w:tr>
      <w:tr>
        <w:tc>
          <w:tcPr>
            <w:tcW w:type="dxa" w:w="100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Достук</w:t>
            </w:r>
          </w:p>
        </w:tc>
      </w:tr>
      <w:tr>
        <w:tc>
          <w:tcPr>
            <w:tcW w:type="dxa" w:w="100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16</w:t>
            </w:r>
          </w:p>
        </w:tc>
        <w:tc>
          <w:tcPr>
            <w:tcW w:type="dxa" w:w="41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Сумбула</w:t>
            </w:r>
          </w:p>
        </w:tc>
        <w:tc>
          <w:tcPr>
            <w:tcW w:type="dxa" w:w="50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Андарак</w:t>
            </w:r>
          </w:p>
        </w:tc>
      </w:tr>
      <w:tr>
        <w:tc>
          <w:tcPr>
            <w:tcW w:type="dxa" w:w="100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Сумбула</w:t>
            </w:r>
          </w:p>
        </w:tc>
      </w:tr>
      <w:tr>
        <w:tc>
          <w:tcPr>
            <w:tcW w:type="dxa" w:w="100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Сарыдобо</w:t>
            </w:r>
          </w:p>
        </w:tc>
      </w:tr>
      <w:tr>
        <w:tc>
          <w:tcPr>
            <w:tcW w:type="dxa" w:w="100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Кокташ</w:t>
            </w:r>
          </w:p>
        </w:tc>
      </w:tr>
      <w:tr>
        <w:tc>
          <w:tcPr>
            <w:tcW w:type="dxa" w:w="100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17</w:t>
            </w:r>
          </w:p>
        </w:tc>
        <w:tc>
          <w:tcPr>
            <w:tcW w:type="dxa" w:w="41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Ак-Суу</w:t>
            </w:r>
          </w:p>
        </w:tc>
        <w:tc>
          <w:tcPr>
            <w:tcW w:type="dxa" w:w="50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Жаркыштак</w:t>
            </w:r>
          </w:p>
        </w:tc>
      </w:tr>
      <w:tr>
        <w:tc>
          <w:tcPr>
            <w:tcW w:type="dxa" w:w="100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Чоюнчу</w:t>
            </w:r>
          </w:p>
        </w:tc>
      </w:tr>
      <w:tr>
        <w:tc>
          <w:tcPr>
            <w:tcW w:type="dxa" w:w="100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Ак-Суу</w:t>
            </w:r>
          </w:p>
        </w:tc>
      </w:tr>
      <w:tr>
        <w:tc>
          <w:tcPr>
            <w:tcW w:type="dxa" w:w="100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Каракамар</w:t>
            </w:r>
          </w:p>
        </w:tc>
      </w:tr>
      <w:tr>
        <w:tc>
          <w:tcPr>
            <w:tcW w:type="dxa" w:w="100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Жезкен</w:t>
            </w:r>
          </w:p>
        </w:tc>
      </w:tr>
      <w:tr>
        <w:tc>
          <w:tcPr>
            <w:tcW w:type="dxa" w:w="100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18</w:t>
            </w:r>
          </w:p>
        </w:tc>
        <w:tc>
          <w:tcPr>
            <w:tcW w:type="dxa" w:w="41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Тогуз-Булак</w:t>
            </w:r>
          </w:p>
        </w:tc>
        <w:tc>
          <w:tcPr>
            <w:tcW w:type="dxa" w:w="50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Кара-Булак</w:t>
            </w:r>
          </w:p>
        </w:tc>
      </w:tr>
      <w:tr>
        <w:tc>
          <w:tcPr>
            <w:tcW w:type="dxa" w:w="100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Айбийке</w:t>
            </w:r>
          </w:p>
        </w:tc>
      </w:tr>
      <w:tr>
        <w:tc>
          <w:tcPr>
            <w:tcW w:type="dxa" w:w="100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Тогуз-Булак</w:t>
            </w:r>
          </w:p>
        </w:tc>
      </w:tr>
      <w:tr>
        <w:tc>
          <w:tcPr>
            <w:tcW w:type="dxa" w:w="100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Минжыгач</w:t>
            </w:r>
          </w:p>
        </w:tc>
      </w:tr>
      <w:tr>
        <w:tc>
          <w:tcPr>
            <w:tcW w:type="dxa" w:w="100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Ай-Кол</w:t>
            </w:r>
          </w:p>
        </w:tc>
      </w:tr>
      <w:tr>
        <w:tc>
          <w:tcPr>
            <w:tcW w:type="dxa" w:w="100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Гордой</w:t>
            </w:r>
          </w:p>
        </w:tc>
      </w:tr>
      <w:tr>
        <w:tc>
          <w:tcPr>
            <w:tcW w:type="dxa" w:w="100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19</w:t>
            </w:r>
          </w:p>
        </w:tc>
        <w:tc>
          <w:tcPr>
            <w:tcW w:type="dxa" w:w="41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Лейлек</w:t>
            </w:r>
          </w:p>
        </w:tc>
        <w:tc>
          <w:tcPr>
            <w:tcW w:type="dxa" w:w="50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Чуянчы</w:t>
            </w:r>
          </w:p>
        </w:tc>
      </w:tr>
      <w:tr>
        <w:tc>
          <w:tcPr>
            <w:tcW w:type="dxa" w:w="100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Коргон</w:t>
            </w:r>
          </w:p>
        </w:tc>
      </w:tr>
      <w:tr>
        <w:tc>
          <w:tcPr>
            <w:tcW w:type="dxa" w:w="100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Кара-Суу</w:t>
            </w:r>
          </w:p>
        </w:tc>
      </w:tr>
      <w:tr>
        <w:tc>
          <w:tcPr>
            <w:tcW w:type="dxa" w:w="100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Лейлек</w:t>
            </w:r>
          </w:p>
        </w:tc>
      </w:tr>
      <w:tr>
        <w:tc>
          <w:tcPr>
            <w:tcW w:type="dxa" w:w="100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Ак-Терек</w:t>
            </w:r>
          </w:p>
        </w:tc>
      </w:tr>
      <w:tr>
        <w:tc>
          <w:tcPr>
            <w:tcW w:type="dxa" w:w="100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20</w:t>
            </w:r>
          </w:p>
        </w:tc>
        <w:tc>
          <w:tcPr>
            <w:tcW w:type="dxa" w:w="41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Катран</w:t>
            </w:r>
          </w:p>
        </w:tc>
        <w:tc>
          <w:tcPr>
            <w:tcW w:type="dxa" w:w="50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Баул</w:t>
            </w:r>
          </w:p>
        </w:tc>
      </w:tr>
      <w:tr>
        <w:tc>
          <w:tcPr>
            <w:tcW w:type="dxa" w:w="100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Озгоруш</w:t>
            </w:r>
          </w:p>
        </w:tc>
      </w:tr>
      <w:tr>
        <w:tc>
          <w:tcPr>
            <w:tcW w:type="dxa" w:w="100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Катран</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Кадамжайский район (35)</w:t>
            </w:r>
          </w:p>
        </w:tc>
      </w:tr>
      <w:tr>
        <w:tc>
          <w:tcPr>
            <w:tcW w:type="dxa" w:w="100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21</w:t>
            </w:r>
          </w:p>
        </w:tc>
        <w:tc>
          <w:tcPr>
            <w:tcW w:type="dxa" w:w="41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А.Масалиев</w:t>
            </w:r>
          </w:p>
        </w:tc>
        <w:tc>
          <w:tcPr>
            <w:tcW w:type="dxa" w:w="50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Лесхоз</w:t>
            </w:r>
          </w:p>
        </w:tc>
      </w:tr>
      <w:tr>
        <w:tc>
          <w:tcPr>
            <w:tcW w:type="dxa" w:w="100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Какыр</w:t>
            </w:r>
          </w:p>
        </w:tc>
      </w:tr>
      <w:tr>
        <w:tc>
          <w:tcPr>
            <w:tcW w:type="dxa" w:w="100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w:t>
            </w:r>
          </w:p>
        </w:tc>
        <w:tc>
          <w:tcPr>
            <w:tcW w:type="dxa" w:w="41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Ак-Турпак</w:t>
            </w:r>
          </w:p>
        </w:tc>
        <w:tc>
          <w:tcPr>
            <w:tcW w:type="dxa" w:w="50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Отукчу</w:t>
            </w:r>
          </w:p>
        </w:tc>
      </w:tr>
      <w:tr>
        <w:tc>
          <w:tcPr>
            <w:tcW w:type="dxa" w:w="100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Кызыл-Коргон</w:t>
            </w:r>
          </w:p>
        </w:tc>
      </w:tr>
      <w:tr>
        <w:tc>
          <w:tcPr>
            <w:tcW w:type="dxa" w:w="100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Ак-Турпак</w:t>
            </w:r>
          </w:p>
        </w:tc>
      </w:tr>
      <w:tr>
        <w:tc>
          <w:tcPr>
            <w:tcW w:type="dxa" w:w="100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Калача</w:t>
            </w:r>
          </w:p>
        </w:tc>
      </w:tr>
      <w:tr>
        <w:tc>
          <w:tcPr>
            <w:tcW w:type="dxa" w:w="100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Чон-Кара</w:t>
            </w:r>
          </w:p>
        </w:tc>
      </w:tr>
      <w:tr>
        <w:tc>
          <w:tcPr>
            <w:tcW w:type="dxa" w:w="100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23</w:t>
            </w:r>
          </w:p>
        </w:tc>
        <w:tc>
          <w:tcPr>
            <w:tcW w:type="dxa" w:w="41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Алга</w:t>
            </w:r>
          </w:p>
        </w:tc>
        <w:tc>
          <w:tcPr>
            <w:tcW w:type="dxa" w:w="50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Алга</w:t>
            </w:r>
          </w:p>
        </w:tc>
      </w:tr>
      <w:tr>
        <w:tc>
          <w:tcPr>
            <w:tcW w:type="dxa" w:w="100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Чукур-Кыштак</w:t>
            </w:r>
          </w:p>
        </w:tc>
      </w:tr>
      <w:tr>
        <w:tc>
          <w:tcPr>
            <w:tcW w:type="dxa" w:w="100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Адыр</w:t>
            </w:r>
          </w:p>
        </w:tc>
      </w:tr>
      <w:tr>
        <w:tc>
          <w:tcPr>
            <w:tcW w:type="dxa" w:w="100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с.Жаны-Чек</w:t>
            </w:r>
          </w:p>
        </w:tc>
      </w:tr>
      <w:tr>
        <w:tc>
          <w:tcPr>
            <w:tcW w:type="dxa" w:w="100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24</w:t>
            </w:r>
          </w:p>
        </w:tc>
        <w:tc>
          <w:tcPr>
            <w:tcW w:type="dxa" w:w="41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Кыргыз-Кыштак</w:t>
            </w:r>
          </w:p>
        </w:tc>
        <w:tc>
          <w:tcPr>
            <w:tcW w:type="dxa" w:w="50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Кыргыз-Кыштак</w:t>
            </w:r>
          </w:p>
        </w:tc>
      </w:tr>
      <w:tr>
        <w:tc>
          <w:tcPr>
            <w:tcW w:type="dxa" w:w="100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Кайтпас</w:t>
            </w:r>
          </w:p>
        </w:tc>
      </w:tr>
      <w:tr>
        <w:tc>
          <w:tcPr>
            <w:tcW w:type="dxa" w:w="100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с.Бургонду СПХ, ПМК</w:t>
            </w:r>
          </w:p>
        </w:tc>
      </w:tr>
      <w:tr>
        <w:tc>
          <w:tcPr>
            <w:tcW w:type="dxa" w:w="100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25</w:t>
            </w:r>
          </w:p>
        </w:tc>
        <w:tc>
          <w:tcPr>
            <w:tcW w:type="dxa" w:w="41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Халмион</w:t>
            </w:r>
          </w:p>
        </w:tc>
        <w:tc>
          <w:tcPr>
            <w:tcW w:type="dxa" w:w="50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Ынтымак</w:t>
            </w:r>
          </w:p>
        </w:tc>
      </w:tr>
      <w:tr>
        <w:tc>
          <w:tcPr>
            <w:tcW w:type="dxa" w:w="100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Кок-Тал</w:t>
            </w:r>
          </w:p>
        </w:tc>
      </w:tr>
      <w:tr>
        <w:tc>
          <w:tcPr>
            <w:tcW w:type="dxa" w:w="100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Чекелик</w:t>
            </w:r>
          </w:p>
        </w:tc>
      </w:tr>
      <w:tr>
        <w:tc>
          <w:tcPr>
            <w:tcW w:type="dxa" w:w="100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Жошук</w:t>
            </w:r>
          </w:p>
        </w:tc>
      </w:tr>
      <w:tr>
        <w:tc>
          <w:tcPr>
            <w:tcW w:type="dxa" w:w="100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Жаны-Айыл</w:t>
            </w:r>
          </w:p>
        </w:tc>
      </w:tr>
      <w:tr>
        <w:tc>
          <w:tcPr>
            <w:tcW w:type="dxa" w:w="100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Ирилеш</w:t>
            </w:r>
          </w:p>
        </w:tc>
      </w:tr>
      <w:tr>
        <w:tc>
          <w:tcPr>
            <w:tcW w:type="dxa" w:w="100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w:t>
            </w:r>
            <w:r>
              <w:rPr>
                <w:rFonts w:ascii="Arial" w:cs="Arial" w:eastAsia="Arial" w:hAnsi="Arial"/>
                <w:sz w:val="24"/>
                <w:szCs w:val="24"/>
              </w:rPr>
              <w:t xml:space="preserve">ү</w:t>
            </w:r>
            <w:r>
              <w:rPr>
                <w:rFonts w:ascii="Arial" w:cs="Arial" w:eastAsia="Arial" w:hAnsi="Arial"/>
                <w:sz w:val="24"/>
                <w:szCs w:val="24"/>
              </w:rPr>
              <w:t xml:space="preserve">лд</w:t>
            </w:r>
            <w:r>
              <w:rPr>
                <w:rFonts w:ascii="Arial" w:cs="Arial" w:eastAsia="Arial" w:hAnsi="Arial"/>
                <w:sz w:val="24"/>
                <w:szCs w:val="24"/>
              </w:rPr>
              <w:t xml:space="preserve">ү</w:t>
            </w:r>
            <w:r>
              <w:rPr>
                <w:rFonts w:ascii="Arial" w:cs="Arial" w:eastAsia="Arial" w:hAnsi="Arial"/>
                <w:sz w:val="24"/>
                <w:szCs w:val="24"/>
              </w:rPr>
              <w:t xml:space="preserve">рм</w:t>
            </w:r>
            <w:r>
              <w:rPr>
                <w:rFonts w:ascii="Arial" w:cs="Arial" w:eastAsia="Arial" w:hAnsi="Arial"/>
                <w:sz w:val="24"/>
                <w:szCs w:val="24"/>
              </w:rPr>
              <w:t xml:space="preserve">ө</w:t>
            </w:r>
          </w:p>
        </w:tc>
      </w:tr>
      <w:tr>
        <w:tc>
          <w:tcPr>
            <w:tcW w:type="dxa" w:w="100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Ноогардан</w:t>
            </w:r>
          </w:p>
        </w:tc>
      </w:tr>
      <w:tr>
        <w:tc>
          <w:tcPr>
            <w:tcW w:type="dxa" w:w="100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Халмион</w:t>
            </w:r>
          </w:p>
        </w:tc>
      </w:tr>
      <w:tr>
        <w:tc>
          <w:tcPr>
            <w:tcW w:type="dxa" w:w="100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с.Таш-Добо</w:t>
            </w:r>
          </w:p>
        </w:tc>
      </w:tr>
      <w:tr>
        <w:tc>
          <w:tcPr>
            <w:tcW w:type="dxa" w:w="100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26</w:t>
            </w:r>
          </w:p>
        </w:tc>
        <w:tc>
          <w:tcPr>
            <w:tcW w:type="dxa" w:w="41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Бирлик</w:t>
            </w:r>
          </w:p>
        </w:tc>
        <w:tc>
          <w:tcPr>
            <w:tcW w:type="dxa" w:w="50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Чечме</w:t>
            </w:r>
          </w:p>
        </w:tc>
      </w:tr>
      <w:tr>
        <w:tc>
          <w:tcPr>
            <w:tcW w:type="dxa" w:w="100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Сырт</w:t>
            </w:r>
          </w:p>
        </w:tc>
      </w:tr>
      <w:tr>
        <w:tc>
          <w:tcPr>
            <w:tcW w:type="dxa" w:w="100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Ынтымак</w:t>
            </w:r>
          </w:p>
        </w:tc>
      </w:tr>
      <w:tr>
        <w:tc>
          <w:tcPr>
            <w:tcW w:type="dxa" w:w="100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27</w:t>
            </w:r>
          </w:p>
        </w:tc>
        <w:tc>
          <w:tcPr>
            <w:tcW w:type="dxa" w:w="41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Котормо</w:t>
            </w:r>
          </w:p>
        </w:tc>
        <w:tc>
          <w:tcPr>
            <w:tcW w:type="dxa" w:w="50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Ак-Кыя</w:t>
            </w:r>
          </w:p>
        </w:tc>
      </w:tr>
      <w:tr>
        <w:tc>
          <w:tcPr>
            <w:tcW w:type="dxa" w:w="100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Кара-Шоро</w:t>
            </w:r>
          </w:p>
        </w:tc>
      </w:tr>
      <w:tr>
        <w:tc>
          <w:tcPr>
            <w:tcW w:type="dxa" w:w="100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28</w:t>
            </w:r>
          </w:p>
        </w:tc>
        <w:tc>
          <w:tcPr>
            <w:tcW w:type="dxa" w:w="41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Марказ</w:t>
            </w:r>
          </w:p>
        </w:tc>
        <w:tc>
          <w:tcPr>
            <w:tcW w:type="dxa" w:w="50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с.Марказ</w:t>
            </w:r>
          </w:p>
        </w:tc>
      </w:tr>
      <w:tr>
        <w:tc>
          <w:tcPr>
            <w:tcW w:type="dxa" w:w="100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с.Пылдырак</w:t>
            </w:r>
          </w:p>
        </w:tc>
      </w:tr>
      <w:tr>
        <w:tc>
          <w:tcPr>
            <w:tcW w:type="dxa" w:w="100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с.Маяк</w:t>
            </w:r>
          </w:p>
        </w:tc>
      </w:tr>
      <w:tr>
        <w:tc>
          <w:tcPr>
            <w:tcW w:type="dxa" w:w="100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с.Достук</w:t>
            </w:r>
          </w:p>
        </w:tc>
      </w:tr>
      <w:tr>
        <w:tc>
          <w:tcPr>
            <w:tcW w:type="dxa" w:w="100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с.Арпа-Сай</w:t>
            </w:r>
          </w:p>
        </w:tc>
      </w:tr>
      <w:tr>
        <w:tc>
          <w:tcPr>
            <w:tcW w:type="dxa" w:w="100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29</w:t>
            </w:r>
          </w:p>
        </w:tc>
        <w:tc>
          <w:tcPr>
            <w:tcW w:type="dxa" w:w="41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Пульгон</w:t>
            </w:r>
          </w:p>
        </w:tc>
        <w:tc>
          <w:tcPr>
            <w:tcW w:type="dxa" w:w="50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с.Пульгон</w:t>
            </w:r>
          </w:p>
        </w:tc>
      </w:tr>
    </w:tbl>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2
 к проекту "Льготное финансирование Баткенской области"</w:t>
      </w:r>
    </w:p>
    <w:p>
      <w:pPr>
        <w:spacing w:after="120"/>
        <w:jc w:val="center"/>
      </w:pPr>
      <w:r>
        <w:rPr>
          <w:rFonts w:ascii="Arial" w:cs="Arial" w:eastAsia="Arial" w:hAnsi="Arial"/>
          <w:sz w:val="24"/>
          <w:szCs w:val="24"/>
        </w:rPr>
        <w:t xml:space="preserve">Целевые направления льготного кредитования</w:t>
      </w:r>
    </w:p>
    <w:p>
      <w:pPr>
        <w:spacing w:after="120"/>
        <w:jc w:val="center"/>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72"/>
        <w:gridCol w:w="3039"/>
        <w:gridCol w:w="1633"/>
        <w:gridCol w:w="1083"/>
        <w:gridCol w:w="2027"/>
        <w:gridCol w:w="1924"/>
      </w:tblGrid>
      <w:tr>
        <w:tc>
          <w:tcPr>
            <w:tcW w:type="dxa" w:w="472"/>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303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Целевая отрасль</w:t>
            </w:r>
          </w:p>
        </w:tc>
        <w:tc>
          <w:tcPr>
            <w:tcW w:type="dxa" w:w="163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Конечная процентная ставка</w:t>
            </w:r>
          </w:p>
        </w:tc>
        <w:tc>
          <w:tcPr>
            <w:tcW w:type="dxa" w:w="108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 кредита</w:t>
            </w:r>
          </w:p>
        </w:tc>
        <w:tc>
          <w:tcPr>
            <w:tcW w:type="dxa" w:w="202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Льготный период</w:t>
            </w:r>
          </w:p>
        </w:tc>
        <w:tc>
          <w:tcPr>
            <w:tcW w:type="dxa" w:w="192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Размер выдаваемого кредита</w:t>
            </w:r>
          </w:p>
        </w:tc>
      </w:tr>
      <w:tr>
        <w:tc>
          <w:tcPr>
            <w:tcW w:type="dxa" w:w="4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30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Сельское хозяйство</w:t>
            </w:r>
          </w:p>
        </w:tc>
        <w:tc>
          <w:tcPr>
            <w:tcW w:type="dxa" w:w="16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0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 3 лет</w:t>
            </w:r>
          </w:p>
        </w:tc>
        <w:tc>
          <w:tcPr>
            <w:tcW w:type="dxa" w:w="20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Субсидирование процентных платежей - 3 года.</w:t>
            </w:r>
          </w:p>
          <w:p>
            <w:pPr>
              <w:jc w:val="left"/>
            </w:pPr>
            <w:r>
              <w:rPr>
                <w:rFonts w:ascii="Arial" w:cs="Arial" w:eastAsia="Arial" w:hAnsi="Arial"/>
                <w:sz w:val="24"/>
                <w:szCs w:val="24"/>
              </w:rPr>
              <w:t xml:space="preserve">2. Погашение равными долями без предоставления льготного периода в случае кредитования.</w:t>
            </w:r>
          </w:p>
          <w:p>
            <w:pPr>
              <w:jc w:val="left"/>
            </w:pPr>
            <w:r>
              <w:rPr>
                <w:rFonts w:ascii="Arial" w:cs="Arial" w:eastAsia="Arial" w:hAnsi="Arial"/>
                <w:sz w:val="24"/>
                <w:szCs w:val="24"/>
              </w:rPr>
              <w:t xml:space="preserve">3. Льготный период по выплате основной суммы до 12 месяцев при кредитовании</w:t>
            </w:r>
          </w:p>
        </w:tc>
        <w:tc>
          <w:tcPr>
            <w:tcW w:type="dxa" w:w="19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Без залогового обеспечения до 300000 сомов.</w:t>
            </w:r>
          </w:p>
          <w:p>
            <w:pPr>
              <w:jc w:val="left"/>
            </w:pPr>
            <w:r>
              <w:rPr>
                <w:rFonts w:ascii="Arial" w:cs="Arial" w:eastAsia="Arial" w:hAnsi="Arial"/>
                <w:sz w:val="24"/>
                <w:szCs w:val="24"/>
              </w:rPr>
              <w:t xml:space="preserve">2. Свыше 300000 сомов до 1000000 сомов с обеспечением (в виде движимого и недвижимого имущества), возможностью использования гарантий ОАО "Гарантийный фонд" в размере 50%</w:t>
            </w:r>
          </w:p>
        </w:tc>
      </w:tr>
      <w:tr>
        <w:tc>
          <w:tcPr>
            <w:tcW w:type="dxa" w:w="4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30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Производство и переработка сельскохозяйственной продукции</w:t>
            </w:r>
          </w:p>
        </w:tc>
        <w:tc>
          <w:tcPr>
            <w:tcW w:type="dxa" w:w="16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Первые 3 года - 0%;</w:t>
            </w:r>
          </w:p>
          <w:p>
            <w:pPr>
              <w:jc w:val="left"/>
            </w:pPr>
            <w:r>
              <w:rPr>
                <w:rFonts w:ascii="Arial" w:cs="Arial" w:eastAsia="Arial" w:hAnsi="Arial"/>
                <w:sz w:val="24"/>
                <w:szCs w:val="24"/>
              </w:rPr>
              <w:t xml:space="preserve">последующие 2 года - 3% годовых</w:t>
            </w:r>
          </w:p>
        </w:tc>
        <w:tc>
          <w:tcPr>
            <w:tcW w:type="dxa" w:w="10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 5 лет</w:t>
            </w:r>
          </w:p>
        </w:tc>
        <w:tc>
          <w:tcPr>
            <w:tcW w:type="dxa" w:w="20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Субсидирование всей суммы процентных платежей - 3 года, частичное субсидирование процентных платежей - 2 года.</w:t>
            </w:r>
          </w:p>
          <w:p>
            <w:pPr>
              <w:jc w:val="left"/>
            </w:pPr>
            <w:r>
              <w:rPr>
                <w:rFonts w:ascii="Arial" w:cs="Arial" w:eastAsia="Arial" w:hAnsi="Arial"/>
                <w:sz w:val="24"/>
                <w:szCs w:val="24"/>
              </w:rPr>
              <w:t xml:space="preserve">2. Погашение равными долями без предоставления льготного периода в случае кредитования.</w:t>
            </w:r>
          </w:p>
          <w:p>
            <w:pPr>
              <w:jc w:val="left"/>
            </w:pPr>
            <w:r>
              <w:rPr>
                <w:rFonts w:ascii="Arial" w:cs="Arial" w:eastAsia="Arial" w:hAnsi="Arial"/>
                <w:sz w:val="24"/>
                <w:szCs w:val="24"/>
              </w:rPr>
              <w:t xml:space="preserve">3. Льготный период по выплате основной суммы до 12 месяцев при кредитовании</w:t>
            </w:r>
          </w:p>
        </w:tc>
        <w:tc>
          <w:tcPr>
            <w:tcW w:type="dxa" w:w="19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Без залогового обеспечения до 300000 сомов.</w:t>
            </w:r>
          </w:p>
          <w:p>
            <w:pPr>
              <w:jc w:val="left"/>
            </w:pPr>
            <w:r>
              <w:rPr>
                <w:rFonts w:ascii="Arial" w:cs="Arial" w:eastAsia="Arial" w:hAnsi="Arial"/>
                <w:sz w:val="24"/>
                <w:szCs w:val="24"/>
              </w:rPr>
              <w:t xml:space="preserve">2. Свыше 300000 сомов до 10000000 сомов с обеспечением (в виде движимого и недвижимого имущества), возможностью использования гарантий ОАО "Гарантийный фонд" в размере 50%</w:t>
            </w:r>
          </w:p>
        </w:tc>
      </w:tr>
      <w:tr>
        <w:tc>
          <w:tcPr>
            <w:tcW w:type="dxa" w:w="4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30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Промышленность</w:t>
            </w:r>
          </w:p>
        </w:tc>
        <w:tc>
          <w:tcPr>
            <w:tcW w:type="dxa" w:w="16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Первые 3 года - 0%;</w:t>
            </w:r>
          </w:p>
          <w:p>
            <w:pPr>
              <w:jc w:val="left"/>
            </w:pPr>
            <w:r>
              <w:rPr>
                <w:rFonts w:ascii="Arial" w:cs="Arial" w:eastAsia="Arial" w:hAnsi="Arial"/>
                <w:sz w:val="24"/>
                <w:szCs w:val="24"/>
              </w:rPr>
              <w:t xml:space="preserve">последующие 2 года - 3% годовых</w:t>
            </w:r>
          </w:p>
        </w:tc>
        <w:tc>
          <w:tcPr>
            <w:tcW w:type="dxa" w:w="10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 5 лет</w:t>
            </w:r>
          </w:p>
        </w:tc>
        <w:tc>
          <w:tcPr>
            <w:tcW w:type="dxa" w:w="20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Субсидирование всей суммы процентных платежей - 3 года, частичное субсидирование процентных платежей - 2 года.</w:t>
            </w:r>
          </w:p>
          <w:p>
            <w:pPr>
              <w:jc w:val="left"/>
            </w:pPr>
            <w:r>
              <w:rPr>
                <w:rFonts w:ascii="Arial" w:cs="Arial" w:eastAsia="Arial" w:hAnsi="Arial"/>
                <w:sz w:val="24"/>
                <w:szCs w:val="24"/>
              </w:rPr>
              <w:t xml:space="preserve">2. Погашение равными долями без предоставления льготного периода в случае кредитования.</w:t>
            </w:r>
          </w:p>
          <w:p>
            <w:pPr>
              <w:jc w:val="left"/>
            </w:pPr>
            <w:r>
              <w:rPr>
                <w:rFonts w:ascii="Arial" w:cs="Arial" w:eastAsia="Arial" w:hAnsi="Arial"/>
                <w:sz w:val="24"/>
                <w:szCs w:val="24"/>
              </w:rPr>
              <w:t xml:space="preserve">3. Льготный период по выплате основной суммы до 12 месяцев при кредитовании</w:t>
            </w:r>
          </w:p>
        </w:tc>
        <w:tc>
          <w:tcPr>
            <w:tcW w:type="dxa" w:w="19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Без залогового обеспечения до 300000 сомов.</w:t>
            </w:r>
          </w:p>
          <w:p>
            <w:pPr>
              <w:jc w:val="left"/>
            </w:pPr>
            <w:r>
              <w:rPr>
                <w:rFonts w:ascii="Arial" w:cs="Arial" w:eastAsia="Arial" w:hAnsi="Arial"/>
                <w:sz w:val="24"/>
                <w:szCs w:val="24"/>
              </w:rPr>
              <w:t xml:space="preserve">2. Свыше 300000 сомов до 10000000 сомов с залоговым обеспечением (в виде движимого и недвижимого имущества), с возможностью использования гарантий ОАО "Гарантийный фонд" в размере 50%</w:t>
            </w:r>
          </w:p>
        </w:tc>
      </w:tr>
      <w:tr>
        <w:tc>
          <w:tcPr>
            <w:tcW w:type="dxa" w:w="4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30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Туризм</w:t>
            </w:r>
          </w:p>
        </w:tc>
        <w:tc>
          <w:tcPr>
            <w:tcW w:type="dxa" w:w="16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0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 3 лет</w:t>
            </w:r>
          </w:p>
        </w:tc>
        <w:tc>
          <w:tcPr>
            <w:tcW w:type="dxa" w:w="20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Субсидирование процентных платежей - 3 года.</w:t>
            </w:r>
          </w:p>
          <w:p>
            <w:pPr>
              <w:jc w:val="left"/>
            </w:pPr>
            <w:r>
              <w:rPr>
                <w:rFonts w:ascii="Arial" w:cs="Arial" w:eastAsia="Arial" w:hAnsi="Arial"/>
                <w:sz w:val="24"/>
                <w:szCs w:val="24"/>
              </w:rPr>
              <w:t xml:space="preserve">2. Погашение равными долями без предоставления льготного периода в случае кредитования.</w:t>
            </w:r>
          </w:p>
          <w:p>
            <w:pPr>
              <w:jc w:val="left"/>
            </w:pPr>
            <w:r>
              <w:rPr>
                <w:rFonts w:ascii="Arial" w:cs="Arial" w:eastAsia="Arial" w:hAnsi="Arial"/>
                <w:sz w:val="24"/>
                <w:szCs w:val="24"/>
              </w:rPr>
              <w:t xml:space="preserve">3. Льготный период по выплате основной суммы до 12 месяцев при кредитовании</w:t>
            </w:r>
          </w:p>
        </w:tc>
        <w:tc>
          <w:tcPr>
            <w:tcW w:type="dxa" w:w="19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Без залогового обеспечения до 300000 сомов.</w:t>
            </w:r>
          </w:p>
          <w:p>
            <w:pPr>
              <w:jc w:val="left"/>
            </w:pPr>
            <w:r>
              <w:rPr>
                <w:rFonts w:ascii="Arial" w:cs="Arial" w:eastAsia="Arial" w:hAnsi="Arial"/>
                <w:sz w:val="24"/>
                <w:szCs w:val="24"/>
              </w:rPr>
              <w:t xml:space="preserve">2. Свыше 300000 сомов до 1000000 сомов с обеспечением (в виде движимого и недвижимого имущества), возможностью использования гарантий ОАО "Гарантийный фонд" в размере 50%</w:t>
            </w:r>
          </w:p>
        </w:tc>
      </w:tr>
      <w:tr>
        <w:tc>
          <w:tcPr>
            <w:tcW w:type="dxa" w:w="4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30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Транспорт</w:t>
            </w:r>
          </w:p>
        </w:tc>
        <w:tc>
          <w:tcPr>
            <w:tcW w:type="dxa" w:w="16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0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 3 лет</w:t>
            </w:r>
          </w:p>
        </w:tc>
        <w:tc>
          <w:tcPr>
            <w:tcW w:type="dxa" w:w="20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Субсидирование процентных платежей - 3 года.</w:t>
            </w:r>
          </w:p>
          <w:p>
            <w:pPr>
              <w:jc w:val="left"/>
            </w:pPr>
            <w:r>
              <w:rPr>
                <w:rFonts w:ascii="Arial" w:cs="Arial" w:eastAsia="Arial" w:hAnsi="Arial"/>
                <w:sz w:val="24"/>
                <w:szCs w:val="24"/>
              </w:rPr>
              <w:t xml:space="preserve">2. Погашение равными долями без предоставления льготного периода в случае кредитования.</w:t>
            </w:r>
          </w:p>
          <w:p>
            <w:pPr>
              <w:jc w:val="left"/>
            </w:pPr>
            <w:r>
              <w:rPr>
                <w:rFonts w:ascii="Arial" w:cs="Arial" w:eastAsia="Arial" w:hAnsi="Arial"/>
                <w:sz w:val="24"/>
                <w:szCs w:val="24"/>
              </w:rPr>
              <w:t xml:space="preserve">3. Льготный период по выплате основной суммы до 12 месяцев при кредитовании</w:t>
            </w:r>
          </w:p>
        </w:tc>
        <w:tc>
          <w:tcPr>
            <w:tcW w:type="dxa" w:w="19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Без залогового обеспечения до 300000 сомов.</w:t>
            </w:r>
          </w:p>
          <w:p>
            <w:pPr>
              <w:jc w:val="left"/>
            </w:pPr>
            <w:r>
              <w:rPr>
                <w:rFonts w:ascii="Arial" w:cs="Arial" w:eastAsia="Arial" w:hAnsi="Arial"/>
                <w:sz w:val="24"/>
                <w:szCs w:val="24"/>
              </w:rPr>
              <w:t xml:space="preserve">2. Свыше 300000 сомов до 10000000 сомов с обеспечением (в виде движимого и недвижимого имущества), возможностью использования гарантий ОАО "Гарантийный фонд" в размере 50%</w:t>
            </w:r>
          </w:p>
        </w:tc>
      </w:tr>
      <w:tr>
        <w:tc>
          <w:tcPr>
            <w:tcW w:type="dxa" w:w="4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30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Экспортоориентированные и импортозамещающие предприятия</w:t>
            </w:r>
          </w:p>
        </w:tc>
        <w:tc>
          <w:tcPr>
            <w:tcW w:type="dxa" w:w="16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Первые 3 года - 0%;</w:t>
            </w:r>
          </w:p>
          <w:p>
            <w:pPr>
              <w:jc w:val="left"/>
            </w:pPr>
            <w:r>
              <w:rPr>
                <w:rFonts w:ascii="Arial" w:cs="Arial" w:eastAsia="Arial" w:hAnsi="Arial"/>
                <w:sz w:val="24"/>
                <w:szCs w:val="24"/>
              </w:rPr>
              <w:t xml:space="preserve">последующие 2 года - 3% годовых</w:t>
            </w:r>
          </w:p>
        </w:tc>
        <w:tc>
          <w:tcPr>
            <w:tcW w:type="dxa" w:w="10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 5 лет</w:t>
            </w:r>
          </w:p>
        </w:tc>
        <w:tc>
          <w:tcPr>
            <w:tcW w:type="dxa" w:w="20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Субсидирование всей суммы процентных платежей - 3 года, частичное субсидирование процентных платежей - 2 года.</w:t>
            </w:r>
          </w:p>
          <w:p>
            <w:pPr>
              <w:jc w:val="left"/>
            </w:pPr>
            <w:r>
              <w:rPr>
                <w:rFonts w:ascii="Arial" w:cs="Arial" w:eastAsia="Arial" w:hAnsi="Arial"/>
                <w:sz w:val="24"/>
                <w:szCs w:val="24"/>
              </w:rPr>
              <w:t xml:space="preserve">2. Погашение равными долями без предоставления льготного периода в случае кредитования.</w:t>
            </w:r>
          </w:p>
          <w:p>
            <w:pPr>
              <w:jc w:val="left"/>
            </w:pPr>
            <w:r>
              <w:rPr>
                <w:rFonts w:ascii="Arial" w:cs="Arial" w:eastAsia="Arial" w:hAnsi="Arial"/>
                <w:sz w:val="24"/>
                <w:szCs w:val="24"/>
              </w:rPr>
              <w:t xml:space="preserve">3. Льготный период по выплате основной суммы до 12 месяцев при кредитовании</w:t>
            </w:r>
          </w:p>
        </w:tc>
        <w:tc>
          <w:tcPr>
            <w:tcW w:type="dxa" w:w="19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Без залогового обеспечения до 300000 сомов.</w:t>
            </w:r>
          </w:p>
          <w:p>
            <w:pPr>
              <w:jc w:val="left"/>
            </w:pPr>
            <w:r>
              <w:rPr>
                <w:rFonts w:ascii="Arial" w:cs="Arial" w:eastAsia="Arial" w:hAnsi="Arial"/>
                <w:sz w:val="24"/>
                <w:szCs w:val="24"/>
              </w:rPr>
              <w:t xml:space="preserve">2. Свыше 300000 сомов до 10000000 сомов с обеспечением (в виде движимого и недвижимого имущества), возможностью использования гарантий ОАО "Гарантийный фонд" в размере 50%</w:t>
            </w:r>
          </w:p>
        </w:tc>
      </w:tr>
      <w:tr>
        <w:tc>
          <w:tcPr>
            <w:tcW w:type="dxa" w:w="4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30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Торгово-логистические центры и овощные хранилища</w:t>
            </w:r>
          </w:p>
        </w:tc>
        <w:tc>
          <w:tcPr>
            <w:tcW w:type="dxa" w:w="16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Первые 3 года - 0%;</w:t>
            </w:r>
          </w:p>
          <w:p>
            <w:pPr>
              <w:jc w:val="left"/>
            </w:pPr>
            <w:r>
              <w:rPr>
                <w:rFonts w:ascii="Arial" w:cs="Arial" w:eastAsia="Arial" w:hAnsi="Arial"/>
                <w:sz w:val="24"/>
                <w:szCs w:val="24"/>
              </w:rPr>
              <w:t xml:space="preserve">последующие 2 года - 3% годовых</w:t>
            </w:r>
          </w:p>
        </w:tc>
        <w:tc>
          <w:tcPr>
            <w:tcW w:type="dxa" w:w="10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 5 лет</w:t>
            </w:r>
          </w:p>
        </w:tc>
        <w:tc>
          <w:tcPr>
            <w:tcW w:type="dxa" w:w="20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Субсидирование всей суммы процентных платежей - 3 года, частичное субсидирование процентных платежей - 2 года.</w:t>
            </w:r>
          </w:p>
          <w:p>
            <w:pPr>
              <w:jc w:val="left"/>
            </w:pPr>
            <w:r>
              <w:rPr>
                <w:rFonts w:ascii="Arial" w:cs="Arial" w:eastAsia="Arial" w:hAnsi="Arial"/>
                <w:sz w:val="24"/>
                <w:szCs w:val="24"/>
              </w:rPr>
              <w:t xml:space="preserve">2. Погашение равными долями без предоставления льготного периода в случае кредитования.</w:t>
            </w:r>
          </w:p>
          <w:p>
            <w:pPr>
              <w:jc w:val="left"/>
            </w:pPr>
            <w:r>
              <w:rPr>
                <w:rFonts w:ascii="Arial" w:cs="Arial" w:eastAsia="Arial" w:hAnsi="Arial"/>
                <w:sz w:val="24"/>
                <w:szCs w:val="24"/>
              </w:rPr>
              <w:t xml:space="preserve">3. Льготный период по выплате основной суммы до 12 месяцев при кредитовании</w:t>
            </w:r>
          </w:p>
        </w:tc>
        <w:tc>
          <w:tcPr>
            <w:tcW w:type="dxa" w:w="19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Без залогового обеспечения до 300000 сомов.</w:t>
            </w:r>
          </w:p>
          <w:p>
            <w:pPr>
              <w:jc w:val="left"/>
            </w:pPr>
            <w:r>
              <w:rPr>
                <w:rFonts w:ascii="Arial" w:cs="Arial" w:eastAsia="Arial" w:hAnsi="Arial"/>
                <w:sz w:val="24"/>
                <w:szCs w:val="24"/>
              </w:rPr>
              <w:t xml:space="preserve">2. Свыше 300000 сомов до 10000000 сомов с обеспечением (в виде движимого и недвижимого имущества), возможностью использования гарантий ОАО "Гарантийный фонд" в размере 50%</w:t>
            </w:r>
          </w:p>
        </w:tc>
      </w:tr>
      <w:tr>
        <w:tc>
          <w:tcPr>
            <w:tcW w:type="dxa" w:w="4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30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Инновационная деятельность (создание новых предприятий или новых направлений деятельности)</w:t>
            </w:r>
          </w:p>
        </w:tc>
        <w:tc>
          <w:tcPr>
            <w:tcW w:type="dxa" w:w="16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Первые 3 года - 0%;</w:t>
            </w:r>
          </w:p>
          <w:p>
            <w:pPr>
              <w:jc w:val="left"/>
            </w:pPr>
            <w:r>
              <w:rPr>
                <w:rFonts w:ascii="Arial" w:cs="Arial" w:eastAsia="Arial" w:hAnsi="Arial"/>
                <w:sz w:val="24"/>
                <w:szCs w:val="24"/>
              </w:rPr>
              <w:t xml:space="preserve">последующие 2 года - 3% годовых</w:t>
            </w:r>
          </w:p>
        </w:tc>
        <w:tc>
          <w:tcPr>
            <w:tcW w:type="dxa" w:w="10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 5 лет</w:t>
            </w:r>
          </w:p>
        </w:tc>
        <w:tc>
          <w:tcPr>
            <w:tcW w:type="dxa" w:w="20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Субсидирование всей суммы процентных платежей - 3 года, частичное субсидирование процентных платежей - 2 года.</w:t>
            </w:r>
          </w:p>
          <w:p>
            <w:pPr>
              <w:jc w:val="left"/>
            </w:pPr>
            <w:r>
              <w:rPr>
                <w:rFonts w:ascii="Arial" w:cs="Arial" w:eastAsia="Arial" w:hAnsi="Arial"/>
                <w:sz w:val="24"/>
                <w:szCs w:val="24"/>
              </w:rPr>
              <w:t xml:space="preserve">2. Погашение равными долями без предоставления льготного периода в случае кредитования.</w:t>
            </w:r>
          </w:p>
          <w:p>
            <w:pPr>
              <w:jc w:val="left"/>
            </w:pPr>
            <w:r>
              <w:rPr>
                <w:rFonts w:ascii="Arial" w:cs="Arial" w:eastAsia="Arial" w:hAnsi="Arial"/>
                <w:sz w:val="24"/>
                <w:szCs w:val="24"/>
              </w:rPr>
              <w:t xml:space="preserve">3. Льготный период по выплате основной суммы до 12 месяцев при кредитовании</w:t>
            </w:r>
          </w:p>
        </w:tc>
        <w:tc>
          <w:tcPr>
            <w:tcW w:type="dxa" w:w="19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Без залогового обеспечения до 300000 сомов.</w:t>
            </w:r>
          </w:p>
          <w:p>
            <w:pPr>
              <w:jc w:val="left"/>
            </w:pPr>
            <w:r>
              <w:rPr>
                <w:rFonts w:ascii="Arial" w:cs="Arial" w:eastAsia="Arial" w:hAnsi="Arial"/>
                <w:sz w:val="24"/>
                <w:szCs w:val="24"/>
              </w:rPr>
              <w:t xml:space="preserve">2. Свыше 300000 сомов до 10000000 сомов с обеспечением (в виде движимого и недвижимого имущества), возможностью использования гарантий ОАО "Гарантийный фонд" в размере 50%</w:t>
            </w:r>
          </w:p>
        </w:tc>
      </w:tr>
      <w:tr>
        <w:tc>
          <w:tcPr>
            <w:tcW w:type="dxa" w:w="4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30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Производство защитных медицинских средств и средств индивидуальной защиты</w:t>
            </w:r>
          </w:p>
        </w:tc>
        <w:tc>
          <w:tcPr>
            <w:tcW w:type="dxa" w:w="16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0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 3 лет</w:t>
            </w:r>
          </w:p>
        </w:tc>
        <w:tc>
          <w:tcPr>
            <w:tcW w:type="dxa" w:w="20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Субсидирование процентных платежей - 3 года.</w:t>
            </w:r>
          </w:p>
          <w:p>
            <w:pPr>
              <w:jc w:val="left"/>
            </w:pPr>
            <w:r>
              <w:rPr>
                <w:rFonts w:ascii="Arial" w:cs="Arial" w:eastAsia="Arial" w:hAnsi="Arial"/>
                <w:sz w:val="24"/>
                <w:szCs w:val="24"/>
              </w:rPr>
              <w:t xml:space="preserve">2. Погашение равными долями без предоставления льготного периода в случае кредитования.</w:t>
            </w:r>
          </w:p>
          <w:p>
            <w:pPr>
              <w:jc w:val="left"/>
            </w:pPr>
            <w:r>
              <w:rPr>
                <w:rFonts w:ascii="Arial" w:cs="Arial" w:eastAsia="Arial" w:hAnsi="Arial"/>
                <w:sz w:val="24"/>
                <w:szCs w:val="24"/>
              </w:rPr>
              <w:t xml:space="preserve">3. Льготный период по выплате основной суммы до 12 месяцев при кредитовании</w:t>
            </w:r>
          </w:p>
        </w:tc>
        <w:tc>
          <w:tcPr>
            <w:tcW w:type="dxa" w:w="19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Без залогового обеспечения до 300000 сомов.</w:t>
            </w:r>
          </w:p>
          <w:p>
            <w:pPr>
              <w:jc w:val="left"/>
            </w:pPr>
            <w:r>
              <w:rPr>
                <w:rFonts w:ascii="Arial" w:cs="Arial" w:eastAsia="Arial" w:hAnsi="Arial"/>
                <w:sz w:val="24"/>
                <w:szCs w:val="24"/>
              </w:rPr>
              <w:t xml:space="preserve">2. Свыше 300000 сомов до 10000000 сомов с обеспечением (в виде движимого и недвижимого имущества), возможностью использования гарантий ОАО "Гарантийный фонд" в размере 50%</w:t>
            </w:r>
          </w:p>
        </w:tc>
      </w:tr>
      <w:tr>
        <w:tc>
          <w:tcPr>
            <w:tcW w:type="dxa" w:w="4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30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Торговля</w:t>
            </w:r>
          </w:p>
        </w:tc>
        <w:tc>
          <w:tcPr>
            <w:tcW w:type="dxa" w:w="16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0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 3 лет</w:t>
            </w:r>
          </w:p>
        </w:tc>
        <w:tc>
          <w:tcPr>
            <w:tcW w:type="dxa" w:w="20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Субсидирование процентных платежей - 3 года.</w:t>
            </w:r>
          </w:p>
          <w:p>
            <w:pPr>
              <w:jc w:val="left"/>
            </w:pPr>
            <w:r>
              <w:rPr>
                <w:rFonts w:ascii="Arial" w:cs="Arial" w:eastAsia="Arial" w:hAnsi="Arial"/>
                <w:sz w:val="24"/>
                <w:szCs w:val="24"/>
              </w:rPr>
              <w:t xml:space="preserve">2. Погашение равными долями без предоставления льготного периода в случае кредитования.</w:t>
            </w:r>
          </w:p>
          <w:p>
            <w:pPr>
              <w:jc w:val="left"/>
            </w:pPr>
            <w:r>
              <w:rPr>
                <w:rFonts w:ascii="Arial" w:cs="Arial" w:eastAsia="Arial" w:hAnsi="Arial"/>
                <w:sz w:val="24"/>
                <w:szCs w:val="24"/>
              </w:rPr>
              <w:t xml:space="preserve">3. Льготный период по выплате основной суммы до 12 месяцев при кредитовании</w:t>
            </w:r>
          </w:p>
        </w:tc>
        <w:tc>
          <w:tcPr>
            <w:tcW w:type="dxa" w:w="19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Без залогового обеспечения до 300000 сомов.</w:t>
            </w:r>
          </w:p>
          <w:p>
            <w:pPr>
              <w:jc w:val="left"/>
            </w:pPr>
            <w:r>
              <w:rPr>
                <w:rFonts w:ascii="Arial" w:cs="Arial" w:eastAsia="Arial" w:hAnsi="Arial"/>
                <w:sz w:val="24"/>
                <w:szCs w:val="24"/>
              </w:rPr>
              <w:t xml:space="preserve">2. Свыше 300000 сомов до 5000000 сомов с обеспечением (в виде движимого и недвижимого имущества), возможностью использования гарантий ОАО "Гарантийный фонд" в размере 50%</w:t>
            </w:r>
          </w:p>
        </w:tc>
      </w:tr>
      <w:tr>
        <w:tc>
          <w:tcPr>
            <w:tcW w:type="dxa" w:w="4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30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Сфера услуг</w:t>
            </w:r>
          </w:p>
        </w:tc>
        <w:tc>
          <w:tcPr>
            <w:tcW w:type="dxa" w:w="16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0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 3 лет</w:t>
            </w:r>
          </w:p>
        </w:tc>
        <w:tc>
          <w:tcPr>
            <w:tcW w:type="dxa" w:w="20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Субсидирование процентных платежей - 3 года.</w:t>
            </w:r>
          </w:p>
          <w:p>
            <w:pPr>
              <w:jc w:val="left"/>
            </w:pPr>
            <w:r>
              <w:rPr>
                <w:rFonts w:ascii="Arial" w:cs="Arial" w:eastAsia="Arial" w:hAnsi="Arial"/>
                <w:sz w:val="24"/>
                <w:szCs w:val="24"/>
              </w:rPr>
              <w:t xml:space="preserve">2. Погашение равными долями без предоставления льготного периода в случае кредитования.</w:t>
            </w:r>
          </w:p>
          <w:p>
            <w:pPr>
              <w:jc w:val="left"/>
            </w:pPr>
            <w:r>
              <w:rPr>
                <w:rFonts w:ascii="Arial" w:cs="Arial" w:eastAsia="Arial" w:hAnsi="Arial"/>
                <w:sz w:val="24"/>
                <w:szCs w:val="24"/>
              </w:rPr>
              <w:t xml:space="preserve">3. Льготный период по выплате основной суммы до 12 месяцев при кредитовании</w:t>
            </w:r>
          </w:p>
        </w:tc>
        <w:tc>
          <w:tcPr>
            <w:tcW w:type="dxa" w:w="19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Без залогового обеспечения до 300000 сомов.</w:t>
            </w:r>
          </w:p>
          <w:p>
            <w:pPr>
              <w:jc w:val="left"/>
            </w:pPr>
            <w:r>
              <w:rPr>
                <w:rFonts w:ascii="Arial" w:cs="Arial" w:eastAsia="Arial" w:hAnsi="Arial"/>
                <w:sz w:val="24"/>
                <w:szCs w:val="24"/>
              </w:rPr>
              <w:t xml:space="preserve">2. Свыше 300000 сомов до 5000000 сомов с обеспечением (в виде движимого и недвижимого имущества), возможностью использования гарантий ОАО "Гарантийный фонд" в размере 50%</w:t>
            </w:r>
          </w:p>
        </w:tc>
      </w:tr>
      <w:tr>
        <w:tc>
          <w:tcPr>
            <w:tcW w:type="dxa" w:w="4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30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Сфера образования</w:t>
            </w:r>
          </w:p>
        </w:tc>
        <w:tc>
          <w:tcPr>
            <w:tcW w:type="dxa" w:w="16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0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 3 лет</w:t>
            </w:r>
          </w:p>
        </w:tc>
        <w:tc>
          <w:tcPr>
            <w:tcW w:type="dxa" w:w="20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Субсидирование процентных платежей - 3 года.</w:t>
            </w:r>
          </w:p>
          <w:p>
            <w:pPr>
              <w:jc w:val="left"/>
            </w:pPr>
            <w:r>
              <w:rPr>
                <w:rFonts w:ascii="Arial" w:cs="Arial" w:eastAsia="Arial" w:hAnsi="Arial"/>
                <w:sz w:val="24"/>
                <w:szCs w:val="24"/>
              </w:rPr>
              <w:t xml:space="preserve">2. Погашение равными долями без предоставления льготного периода в случае кредитования.</w:t>
            </w:r>
          </w:p>
          <w:p>
            <w:pPr>
              <w:jc w:val="left"/>
            </w:pPr>
            <w:r>
              <w:rPr>
                <w:rFonts w:ascii="Arial" w:cs="Arial" w:eastAsia="Arial" w:hAnsi="Arial"/>
                <w:sz w:val="24"/>
                <w:szCs w:val="24"/>
              </w:rPr>
              <w:t xml:space="preserve">3. Льготный период по выплате основной суммы до 12 месяцев при кредитовании</w:t>
            </w:r>
          </w:p>
        </w:tc>
        <w:tc>
          <w:tcPr>
            <w:tcW w:type="dxa" w:w="19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Без залогового обеспечения до 300000 сомов.</w:t>
            </w:r>
          </w:p>
          <w:p>
            <w:pPr>
              <w:jc w:val="left"/>
            </w:pPr>
            <w:r>
              <w:rPr>
                <w:rFonts w:ascii="Arial" w:cs="Arial" w:eastAsia="Arial" w:hAnsi="Arial"/>
                <w:sz w:val="24"/>
                <w:szCs w:val="24"/>
              </w:rPr>
              <w:t xml:space="preserve">2. Свыше 300000 сомов до 1500000 сомов с обеспечением (в виде движимого и недвижимого имущества), возможностью использования гарантий ОАО "Гарантийный фонд" в размере 50%</w:t>
            </w:r>
          </w:p>
        </w:tc>
      </w:tr>
      <w:tr>
        <w:tc>
          <w:tcPr>
            <w:tcW w:type="dxa" w:w="4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30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Информационные технологии</w:t>
            </w:r>
          </w:p>
        </w:tc>
        <w:tc>
          <w:tcPr>
            <w:tcW w:type="dxa" w:w="16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Первые 3 года - 0%;</w:t>
            </w:r>
          </w:p>
          <w:p>
            <w:pPr>
              <w:jc w:val="left"/>
            </w:pPr>
            <w:r>
              <w:rPr>
                <w:rFonts w:ascii="Arial" w:cs="Arial" w:eastAsia="Arial" w:hAnsi="Arial"/>
                <w:sz w:val="24"/>
                <w:szCs w:val="24"/>
              </w:rPr>
              <w:t xml:space="preserve">последующие 2 года - 3% годовых</w:t>
            </w:r>
          </w:p>
        </w:tc>
        <w:tc>
          <w:tcPr>
            <w:tcW w:type="dxa" w:w="10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 5 лет</w:t>
            </w:r>
          </w:p>
        </w:tc>
        <w:tc>
          <w:tcPr>
            <w:tcW w:type="dxa" w:w="20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Субсидирование процентных платежей - 3 года, частичное субсидирование процентных платежей - 2 года.</w:t>
            </w:r>
          </w:p>
          <w:p>
            <w:pPr>
              <w:jc w:val="left"/>
            </w:pPr>
            <w:r>
              <w:rPr>
                <w:rFonts w:ascii="Arial" w:cs="Arial" w:eastAsia="Arial" w:hAnsi="Arial"/>
                <w:sz w:val="24"/>
                <w:szCs w:val="24"/>
              </w:rPr>
              <w:t xml:space="preserve">2. Погашение равными долями без предоставления льготного периода в случае кредитования.</w:t>
            </w:r>
          </w:p>
          <w:p>
            <w:pPr>
              <w:jc w:val="left"/>
            </w:pPr>
            <w:r>
              <w:rPr>
                <w:rFonts w:ascii="Arial" w:cs="Arial" w:eastAsia="Arial" w:hAnsi="Arial"/>
                <w:sz w:val="24"/>
                <w:szCs w:val="24"/>
              </w:rPr>
              <w:t xml:space="preserve">3. Льготный период по выплате основной суммы до 12 месяцев при кредитовании</w:t>
            </w:r>
          </w:p>
        </w:tc>
        <w:tc>
          <w:tcPr>
            <w:tcW w:type="dxa" w:w="19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Без залогового обеспечения до 300000 сомов.</w:t>
            </w:r>
          </w:p>
          <w:p>
            <w:pPr>
              <w:jc w:val="left"/>
            </w:pPr>
            <w:r>
              <w:rPr>
                <w:rFonts w:ascii="Arial" w:cs="Arial" w:eastAsia="Arial" w:hAnsi="Arial"/>
                <w:sz w:val="24"/>
                <w:szCs w:val="24"/>
              </w:rPr>
              <w:t xml:space="preserve">2. Свыше 300000 сомов до 10000000 сомов с обеспечением (в виде движимого и недвижимого имущества), возможностью использования гарантий ОАО "Гарантийный фонд" в размере 50%</w:t>
            </w:r>
          </w:p>
        </w:tc>
      </w:tr>
    </w:tbl>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zwkjrvtfl-dfnjgrafsx">
      <w:r>
        <w:rPr>
          <w:rFonts w:ascii="Arial" w:cs="Arial" w:eastAsia="Arial" w:hAnsi="Arial"/>
          <w:color w:val="132D3F"/>
          <w:sz w:val="16"/>
          <w:szCs w:val="16"/>
          <w:u w:val="single"/>
        </w:rPr>
        <w:t xml:space="preserve">dalil.kg/document/219071</w:t>
      </w:r>
    </w:hyperlink>
  </w:p>
  <w:p>
    <w:pPr>
      <w:spacing w:after="0" w:before="40"/>
      <w:jc w:val="center"/>
    </w:pPr>
    <w:hyperlink w:history="1" r:id="rIdsvudfgugxsxmxnnbwowk8">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nz-uvj8siwqy2-4o7atof" Type="http://schemas.openxmlformats.org/officeDocument/2006/relationships/hyperlink" Target="https://dalil.kg/document/111338#st_22" TargetMode="External"/><Relationship Id="rIdetpprwz2fjqz8p49rhcym" Type="http://schemas.openxmlformats.org/officeDocument/2006/relationships/hyperlink" Target="https://dalil.kg/document/111338#st_115" TargetMode="External"/><Relationship Id="rIdmlnr4emqj1aj3khtxqyrg" Type="http://schemas.openxmlformats.org/officeDocument/2006/relationships/hyperlink" Target="https://dalil.kg/document/112301#st_13" TargetMode="External"/><Relationship Id="rIdhlsgmm_-0nkw2qyq8crf3" Type="http://schemas.openxmlformats.org/officeDocument/2006/relationships/hyperlink" Target="https://dalil.kg/document/112301#st_17" TargetMode="External"/><Relationship Id="rIdk6z-aizmojl7wejiu8gro" Type="http://schemas.openxmlformats.org/officeDocument/2006/relationships/hyperlink" Target="https://dalil.kg/document/112298#st_5" TargetMode="External"/><Relationship Id="rId4jopfmtsnwybcp99nw7jb" Type="http://schemas.openxmlformats.org/officeDocument/2006/relationships/hyperlink" Target="https://dalil.kg/document/112298#st_6" TargetMode="External"/><Relationship Id="rId5ndc-_7r2mfuhym72ur3u" Type="http://schemas.openxmlformats.org/officeDocument/2006/relationships/hyperlink" Target="https://dalil.kg/document/219071#pr" TargetMode="External"/><Relationship Id="rIdfcl3uwpzdwyvrrbgnfahi" Type="http://schemas.openxmlformats.org/officeDocument/2006/relationships/hyperlink" Target="https://dalil.kg/document/112336" TargetMode="External"/><Relationship Id="rId9zqje_ecxqjugjnkkkwgi" Type="http://schemas.openxmlformats.org/officeDocument/2006/relationships/hyperlink" Target="https://dalil.kg/document/219071#pr1" TargetMode="External"/><Relationship Id="rIdxcaj-4fr1ay-4-t-ssbyl" Type="http://schemas.openxmlformats.org/officeDocument/2006/relationships/hyperlink" Target="https://dalil.kg/document/219071#pr2" TargetMode="External"/><Relationship Id="rId8" Type="http://schemas.openxmlformats.org/officeDocument/2006/relationships/image" Target="media/8de64316e95979c063c17bcd5380dc052a2594e9.png"/><Relationship Id="rId1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zwkjrvtfl-dfnjgrafsx" Type="http://schemas.openxmlformats.org/officeDocument/2006/relationships/hyperlink" Target="https://dalil.kg/document/219071" TargetMode="External"/><Relationship Id="rIdsvudfgugxsxmxnnbwowk8"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2026-09-25T03:56:40.649Z</dcterms:created>
  <dcterms:modified xsi:type="dcterms:W3CDTF">2026-09-25T03:56:40.649Z</dcterms:modified>
</cp:coreProperties>
</file>

<file path=docProps/custom.xml><?xml version="1.0" encoding="utf-8"?>
<Properties xmlns="http://schemas.openxmlformats.org/officeDocument/2006/custom-properties" xmlns:vt="http://schemas.openxmlformats.org/officeDocument/2006/docPropsVTypes"/>
</file>