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5 июля 2022 года № 39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въезда/выезда отдельных категорий граждан Республики Таджикистан и граждан третьих государств через пункты пропуска на Государственной границе Кыргызской Республики, в соответствии со статьями </w:t>
      </w:r>
      <w:hyperlink w:history="1" r:id="rIdqpgqr55myawehipeu7b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qxp8fbf0sk18bns4_z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yqmnxrlj6i1pto_js6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21 мая 2021 года № 12-р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«и промышленности»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граждан Республики Таджикистан - детей и супругов граждан Кыргызской Республики при условии документального подтверждения их родства;»;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девятым,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граждан Республики Таджикистан, участвующих в различных официальных и общественно-массовых мероприятиях на территории Кыргызской Республики на основании письменного обращения заинтересованных государственных органов Кыргызской Республики по согласованию с руководством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третьих стран на основании письменных обращений государственных органов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Пограничной службе Государственного комитета национальной безопасности Кыргызской Республики, Государственной таможенной службе при Министерстве финансов Кыргызской Республики, Министерству транспорта и коммуникаций Кыргызской Республики, Министерству труда, социального</w:t>
      </w:r>
      <w:r>
        <w:rPr>
          <w:rFonts w:ascii="Arial" w:cs="Arial" w:eastAsia="Arial" w:hAnsi="Arial"/>
          <w:sz w:val="24"/>
          <w:szCs w:val="24"/>
        </w:rPr>
        <w:t xml:space="preserve"> обеспечения и миграции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Министерству</w:t>
      </w:r>
      <w:r>
        <w:rPr>
          <w:rFonts w:ascii="Arial" w:cs="Arial" w:eastAsia="Arial" w:hAnsi="Arial"/>
          <w:sz w:val="24"/>
          <w:szCs w:val="24"/>
        </w:rPr>
        <w:t xml:space="preserve"> внутренних дел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Министерству сельского </w:t>
      </w:r>
      <w:r>
        <w:rPr>
          <w:rFonts w:ascii="Arial" w:cs="Arial" w:eastAsia="Arial" w:hAnsi="Arial"/>
          <w:sz w:val="24"/>
          <w:szCs w:val="24"/>
        </w:rPr>
        <w:t xml:space="preserve">хозяйства Кыргызской Республики, Министерству энергетики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другим заинтересованным государственным органам Кыргызской Республики принять соответствующие меры, вытекающие из настоящего распоряжения.».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pznw8xo9esmc5fniy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dalil.kg/document/219122</w:t>
      </w:r>
    </w:hyperlink>
  </w:p>
  <w:p>
    <w:pPr>
      <w:spacing w:after="0" w:before="40"/>
      <w:jc w:val="center"/>
    </w:pPr>
    <w:hyperlink w:history="1" r:id="rIdghn1ar6jtyd3ojq1su-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gqr55myawehipeu7bhg" Type="http://schemas.openxmlformats.org/officeDocument/2006/relationships/hyperlink" Target="https://dalil.kg/document/112301#st_13" TargetMode="External"/><Relationship Id="rId8qxp8fbf0sk18bns4_zdc" Type="http://schemas.openxmlformats.org/officeDocument/2006/relationships/hyperlink" Target="https://dalil.kg/document/112301#st_17" TargetMode="External"/><Relationship Id="rIdtyqmnxrlj6i1pto_js6mk" Type="http://schemas.openxmlformats.org/officeDocument/2006/relationships/hyperlink" Target="https://dalil.kg/document/2185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pznw8xo9esmc5fniylw" Type="http://schemas.openxmlformats.org/officeDocument/2006/relationships/hyperlink" Target="https://dalil.kg/document/219122" TargetMode="External"/><Relationship Id="rIdghn1ar6jtyd3ojq1su-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2026-09-27T12:14:33.087Z</dcterms:created>
  <dcterms:modified xsi:type="dcterms:W3CDTF">2026-09-27T12:14:33.087Z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