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15 июля</w:t>
      </w:r>
      <w:r>
        <w:rPr>
          <w:rFonts w:ascii="Arial" w:cs="Arial" w:eastAsia="Arial" w:hAnsi="Arial"/>
          <w:sz w:val="24"/>
          <w:szCs w:val="24"/>
        </w:rPr>
        <w:t xml:space="preserve"> 2022 года № </w:t>
      </w:r>
      <w:r>
        <w:rPr>
          <w:rFonts w:ascii="Arial" w:cs="Arial" w:eastAsia="Arial" w:hAnsi="Arial"/>
          <w:sz w:val="24"/>
          <w:szCs w:val="24"/>
        </w:rPr>
        <w:t xml:space="preserve">389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Соглашением о механизме финансирования (Специальные операции) между Кыргызской Республикой и Азиатским банком развития, ратифицированным </w:t>
      </w:r>
      <w:hyperlink w:history="1" r:id="rIdp7gvl-ahgvh7854tfir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Соглашения о механизме финансирования (Специальные операции) между Кыргызской Республикой и Азиатским банком развития, подписанного 25 декабря 2019 года в городе Бишкек" от 18 мая 2020 года № 55, руководствуясь статьями </w:t>
      </w:r>
      <w:hyperlink w:history="1" r:id="rIdkk_zvobtmomf1kjbxib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g_baj0ye-z-vxsa1ut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на официальном языке (неофициальный перевод) </w:t>
      </w:r>
      <w:r>
        <w:rPr>
          <w:rFonts w:ascii="Arial" w:cs="Arial" w:eastAsia="Arial" w:hAnsi="Arial"/>
          <w:sz w:val="24"/>
          <w:szCs w:val="24"/>
        </w:rPr>
        <w:t xml:space="preserve">проект</w:t>
      </w:r>
      <w:r>
        <w:rPr>
          <w:rFonts w:ascii="Arial" w:cs="Arial" w:eastAsia="Arial" w:hAnsi="Arial"/>
          <w:sz w:val="24"/>
          <w:szCs w:val="24"/>
        </w:rPr>
        <w:t xml:space="preserve"> Письма-соглашения по третьему субгрантовому мероприятию в рамках Соглашения о механизме финансирования (Специальные операции) между Кыргызской Республикой и Азиатским банком развития.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на подписание вышеуказанного проекта Письма-соглашения министра финансов Кыргызской Республики, а также директора Государственного агентства архитектуры, строительства и жилищно-коммунального хозяйства при Кабинете Министров Кыргызской Республики, на правах Исполнительного агентства, с учетом внесения изменений и дополнений непринципиального характера.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(Неофициальный перевод)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ПИСЬМО-СОГЛАШЕНИЕ
 по третьему субгрантовому мероприятию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[Дата]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Г-н, Алмазбек Кушбекович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Бишкек, 720040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Эркиндик, 58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Относительно: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Механизма финансирования малых расходов (МФМР), по третьему субгрантовому мероприятию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Уважаемый господин министр,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Нам приятно сообщить, что Азиатский банк развития (АБР) [дата] одобрил запрос от Кыргызской Республики (Получатель) на получение третьего субгрантового мероприятия в рамках механизма финансирования малых грантов (МФМГ) для выполнения мероприятий, указанных ниже, в таблице мероприятия.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Третье субгрантовое мероприятие предоставляется в соответствии с Соглашением о механизме финансирования малых расходов (специальные операции), заключенным между Получателем и АБР (Соглашение о механизме) 25 декабря 2019 года. Получатель и АБР настоящим соглашаются, что мероприятие будет финансироваться и осуществляться на условиях, изложенных в настоящем письме-соглашении (Соглашение о субгрантовом мероприятий).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Общие положения и условия, изложенные в Приложении 1 к Соглашению о механизме (Общие положения и условия), настоящим применяются к данному Соглашению по третьему субгрантовому мероприятию с той же силой и действием, как если бы они были полностью изложены в настоящем Соглашении. Если контекст не требует иного, термины, написанные с прописной буквой, используемые, но не определенные в настоящем Соглашении о субгрантовом мероприятий, имеют значение данное им в общих положения и условиях.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95"/>
        <w:gridCol w:w="7483"/>
      </w:tblGrid>
      <w:tr>
        <w:tc>
          <w:tcPr>
            <w:tcW w:type="dxa" w:w="26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74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обеспечение реализации Программы, финансируемой АБР и описанной ниже, для оказания поддержки исполнительному агентству в достижении результатов и показателей Программы, кредитование которой осуществляется по результатам (Программа КОР), а также для осуществления мероприятий в рамках Плана Программы КОР</w:t>
            </w:r>
          </w:p>
        </w:tc>
      </w:tr>
      <w:tr>
        <w:tc>
          <w:tcPr>
            <w:tcW w:type="dxa" w:w="26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Программа, финансируемая АБР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"Финансирование за счет механизма финансирования малых расходов для обновления технико-экономического обоснования и подготовку проектно-сметной документации проекта "Экологическое управление озером Иссык-Куль в целях устойчивого развития туризма"</w:t>
            </w:r>
          </w:p>
        </w:tc>
      </w:tr>
      <w:tr>
        <w:tc>
          <w:tcPr>
            <w:tcW w:type="dxa" w:w="26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Исполнительное агентство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архитектуры, строительства и жилищно-коммунального хозяйства при Кабинете Министров Кыргызской Республики - любой его преемник, приемлемый для АБР</w:t>
            </w:r>
          </w:p>
        </w:tc>
      </w:tr>
      <w:tr>
        <w:tc>
          <w:tcPr>
            <w:tcW w:type="dxa" w:w="26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третьего субгрантового мероприятия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один миллион пятьсот тысяч долларов США ($1500000)</w:t>
            </w:r>
          </w:p>
        </w:tc>
      </w:tr>
      <w:tr>
        <w:tc>
          <w:tcPr>
            <w:tcW w:type="dxa" w:w="26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Таблица распределения средств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См. Приложение</w:t>
            </w:r>
          </w:p>
        </w:tc>
      </w:tr>
      <w:tr>
        <w:tc>
          <w:tcPr>
            <w:tcW w:type="dxa" w:w="26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завершения третьего субгрантового мероприятия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февраля 2023 года</w:t>
            </w:r>
          </w:p>
        </w:tc>
      </w:tr>
      <w:tr>
        <w:tc>
          <w:tcPr>
            <w:tcW w:type="dxa" w:w="26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Гарантии защитных мер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Получатель, через исполнительное агентство, должен обеспечить выполнение мероприятия таким образом, что оно не окажет никакого негативного воздействия на окружающую среду, на местных жителей или на процесс вынужденного переселения. Это отражено в заявлении о политике гарантий (ЗПГ). В случае, если выполнение мероприятий в рамках мероприятия оказывает какое-либо негативное воздействие, Получатель должен принять все необходимые меры для обеспечения того, чтобы выполнение мероприятия соответствовало применимым на территории Получателя законам и нормативным актам и ЗПГ АБР</w:t>
            </w:r>
          </w:p>
        </w:tc>
      </w:tr>
      <w:tr>
        <w:tc>
          <w:tcPr>
            <w:tcW w:type="dxa" w:w="26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Прекращение действия Соглашения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Соглашение о субгрантовом мероприятий и обязательства всех Сторон по нему прекращаются по истечении десяти лет с даты заключения настоящего Соглашения о субгранте мероприятия</w:t>
            </w:r>
          </w:p>
        </w:tc>
      </w:tr>
      <w:tr>
        <w:tc>
          <w:tcPr>
            <w:tcW w:type="dxa" w:w="26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 Получателя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качестве представителя Получателя назначено Министерство финансов, согласно условиям раздела 11.02 Грантового Регламента</w:t>
            </w:r>
          </w:p>
        </w:tc>
      </w:tr>
      <w:tr>
        <w:tc>
          <w:tcPr>
            <w:tcW w:type="dxa" w:w="26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Контактные данные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Следующие реквизиты указаны для целей Раздела 11.01 Положения о гранте: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имени Получателя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Бульвар Эркиндик, 58.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Бишкек, 720040 Кыргызская Республика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факса: (+966) 312 661 645.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имени АБР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Asian Development Bank 6 ADB Avenue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Mandaluyong City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1550 Metro Manila Philippines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Facsimile Numbers: (632) 8636-2444, (632) 8636-2424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соответствии с Политикой доступа АБР к информации от 2018 года о раскрытии и обмене информацией, данное Соглашение о субгрантовом мероприятии будет опубликовано на веб-сайте АБР после его подписания обеими Сторонами. Если АБР будет уведомлен о том, что данное Соглашение о субгранте мероприятий содержит любую информацию или данные конфиденциального характера, попадающие под исключения Политики доступа АБР к информации, то в соответствии с Политикой, они будут опубликованы после редактирования.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Получателю предлагается подтвердить свое согласие с условиями настоящего Соглашения о субгранте мероприятия, поставив подпись уполномоченного представителя в указанном ниже месте. Подписываются два экземпляра настоящего Соглашения о субгранте мероприятий (два оригинала). Пожалуйста, сохраните один подписанный оригинал у себя и отправьте второй подписанный оригинал в АБР.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уважением,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Вермер Липах,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Департамента Центральной и Западной Азии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Получатель настоящим соглашается на условия и положения данного Соглашения о субгранте мероприятия.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имени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Имя: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Исполнительное агентство настоящим соглашается выполнять все обязательства, изложенные в настоящем Соглашении о субгранте мероприятия, в той мере, в какой они применимы соответственно к исполнительному агентству.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имени Государственного агентства архитектуры, строительства и жилищно-коммунального хозяйства при Кабинете Министров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Имя: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Соглашению о суб-гранте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Таблица распределения средств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10180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РАСПРЕДЕЛЕНИЕ И СНЯТИЕ СУБ-ГРАНТОВЫХ СРЕДСТВ</w:t>
            </w:r>
          </w:p>
        </w:tc>
      </w:tr>
      <w:tr>
        <w:tc>
          <w:tcPr>
            <w:tcW w:type="dxa" w:w="25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</w:t>
            </w:r>
          </w:p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Описание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Сумма, определенная для финансирования АБР ($)</w:t>
            </w:r>
          </w:p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Основания для снятия средств со счета суб-гранта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Консультационные услуги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1500000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 от всей суммы*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TOTAL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1500000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исключая налоги и пошлины к оплате на территории Получателя.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r4wbrhwsmlvucpah4fd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dalil.kg/document/219133</w:t>
      </w:r>
    </w:hyperlink>
  </w:p>
  <w:p>
    <w:pPr>
      <w:spacing w:after="0" w:before="40"/>
      <w:jc w:val="center"/>
    </w:pPr>
    <w:hyperlink w:history="1" r:id="rId_tcgnwzbfohibhd_83uc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7gvl-ahgvh7854tfirdu" Type="http://schemas.openxmlformats.org/officeDocument/2006/relationships/hyperlink" Target="https://dalil.kg/document/112040" TargetMode="External"/><Relationship Id="rIdkk_zvobtmomf1kjbxibaj" Type="http://schemas.openxmlformats.org/officeDocument/2006/relationships/hyperlink" Target="https://dalil.kg/document/112301#st_13" TargetMode="External"/><Relationship Id="rIdlg_baj0ye-z-vxsa1utvk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r4wbrhwsmlvucpah4fdg" Type="http://schemas.openxmlformats.org/officeDocument/2006/relationships/hyperlink" Target="https://dalil.kg/document/219133" TargetMode="External"/><Relationship Id="rId_tcgnwzbfohibhd_83uc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2026-09-29T03:25:53.151Z</dcterms:created>
  <dcterms:modified xsi:type="dcterms:W3CDTF">2026-09-29T03:25:53.151Z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